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08955" w14:textId="77777777" w:rsidR="0075481E" w:rsidRPr="0090609F" w:rsidRDefault="0075481E" w:rsidP="00E33649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90609F">
        <w:rPr>
          <w:b/>
          <w:bCs/>
          <w:sz w:val="22"/>
          <w:szCs w:val="22"/>
        </w:rPr>
        <w:t xml:space="preserve">Deliberação CBH-AT, nº </w:t>
      </w:r>
      <w:proofErr w:type="spellStart"/>
      <w:r w:rsidRPr="0090609F">
        <w:rPr>
          <w:b/>
          <w:bCs/>
          <w:sz w:val="22"/>
          <w:szCs w:val="22"/>
        </w:rPr>
        <w:t>xx</w:t>
      </w:r>
      <w:proofErr w:type="spellEnd"/>
      <w:r w:rsidRPr="0090609F">
        <w:rPr>
          <w:b/>
          <w:bCs/>
          <w:sz w:val="22"/>
          <w:szCs w:val="22"/>
        </w:rPr>
        <w:t xml:space="preserve"> de </w:t>
      </w:r>
      <w:proofErr w:type="spellStart"/>
      <w:r w:rsidRPr="0090609F">
        <w:rPr>
          <w:b/>
          <w:bCs/>
          <w:sz w:val="22"/>
          <w:szCs w:val="22"/>
        </w:rPr>
        <w:t>xx</w:t>
      </w:r>
      <w:proofErr w:type="spellEnd"/>
      <w:r w:rsidRPr="0090609F">
        <w:rPr>
          <w:b/>
          <w:bCs/>
          <w:sz w:val="22"/>
          <w:szCs w:val="22"/>
        </w:rPr>
        <w:t xml:space="preserve"> de </w:t>
      </w:r>
      <w:proofErr w:type="spellStart"/>
      <w:r w:rsidRPr="0090609F">
        <w:rPr>
          <w:b/>
          <w:bCs/>
          <w:sz w:val="22"/>
          <w:szCs w:val="22"/>
        </w:rPr>
        <w:t>xxxx</w:t>
      </w:r>
      <w:proofErr w:type="spellEnd"/>
      <w:r w:rsidRPr="0090609F">
        <w:rPr>
          <w:b/>
          <w:bCs/>
          <w:sz w:val="22"/>
          <w:szCs w:val="22"/>
        </w:rPr>
        <w:t xml:space="preserve"> de 202X.</w:t>
      </w:r>
    </w:p>
    <w:p w14:paraId="32527DDD" w14:textId="6D641B49" w:rsidR="0075481E" w:rsidRDefault="0075481E" w:rsidP="00E33649">
      <w:pPr>
        <w:autoSpaceDE w:val="0"/>
        <w:autoSpaceDN w:val="0"/>
        <w:adjustRightInd w:val="0"/>
        <w:ind w:left="4820" w:hanging="851"/>
        <w:jc w:val="both"/>
        <w:rPr>
          <w:rFonts w:ascii="Arial" w:hAnsi="Arial" w:cs="Arial"/>
          <w:i/>
          <w:iCs/>
          <w:sz w:val="22"/>
          <w:szCs w:val="22"/>
        </w:rPr>
      </w:pPr>
    </w:p>
    <w:p w14:paraId="12057826" w14:textId="195702FD" w:rsidR="00E856F3" w:rsidRDefault="004C1B29" w:rsidP="002D1ED4">
      <w:pPr>
        <w:pStyle w:val="Corpodetexto2"/>
        <w:spacing w:after="0" w:line="240" w:lineRule="auto"/>
        <w:ind w:left="4253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i/>
        </w:rPr>
        <w:t>Rerratifica</w:t>
      </w:r>
      <w:proofErr w:type="spellEnd"/>
      <w:r w:rsidRPr="0090609F">
        <w:rPr>
          <w:rFonts w:ascii="Arial" w:hAnsi="Arial" w:cs="Arial"/>
          <w:i/>
        </w:rPr>
        <w:t xml:space="preserve"> </w:t>
      </w:r>
      <w:r w:rsidR="0075481E" w:rsidRPr="0090609F">
        <w:rPr>
          <w:rFonts w:ascii="Arial" w:hAnsi="Arial" w:cs="Arial"/>
          <w:i/>
        </w:rPr>
        <w:t xml:space="preserve">a área de restrição e controle para a captação e uso das águas subterrâneas no município de São Paulo, na região de </w:t>
      </w:r>
      <w:proofErr w:type="spellStart"/>
      <w:r w:rsidR="0075481E" w:rsidRPr="0090609F">
        <w:rPr>
          <w:rFonts w:ascii="Arial" w:hAnsi="Arial" w:cs="Arial"/>
          <w:i/>
        </w:rPr>
        <w:t>Jurubatuba</w:t>
      </w:r>
      <w:proofErr w:type="spellEnd"/>
      <w:r w:rsidR="0075481E" w:rsidRPr="0090609F">
        <w:rPr>
          <w:rFonts w:ascii="Arial" w:hAnsi="Arial" w:cs="Arial"/>
          <w:i/>
        </w:rPr>
        <w:t xml:space="preserve"> e dá outras providências.</w:t>
      </w:r>
    </w:p>
    <w:p w14:paraId="63C44388" w14:textId="77777777" w:rsidR="00E856F3" w:rsidRPr="0090609F" w:rsidRDefault="00E856F3" w:rsidP="00E3364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E07974C" w14:textId="7D3F8E63" w:rsidR="00785020" w:rsidRPr="0090609F" w:rsidRDefault="00A04CE1" w:rsidP="00E33649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  <w:r w:rsidRPr="0090609F">
        <w:rPr>
          <w:rFonts w:ascii="Arial" w:hAnsi="Arial" w:cs="Arial"/>
          <w:sz w:val="22"/>
          <w:szCs w:val="22"/>
        </w:rPr>
        <w:t xml:space="preserve">O </w:t>
      </w:r>
      <w:r w:rsidR="00785020" w:rsidRPr="0090609F">
        <w:rPr>
          <w:rFonts w:ascii="Arial" w:hAnsi="Arial" w:cs="Arial"/>
          <w:sz w:val="22"/>
          <w:szCs w:val="22"/>
        </w:rPr>
        <w:t xml:space="preserve">Comitê da Bacia Hidrográfica do Alto Tietê, no uso de suas atribuições, e considerando: </w:t>
      </w:r>
    </w:p>
    <w:p w14:paraId="0A466188" w14:textId="77777777" w:rsidR="00A04CE1" w:rsidRPr="0090609F" w:rsidRDefault="00A04CE1" w:rsidP="00E33649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2"/>
          <w:szCs w:val="22"/>
        </w:rPr>
      </w:pPr>
    </w:p>
    <w:p w14:paraId="10E8B03A" w14:textId="7C3770B2" w:rsidR="00A04CE1" w:rsidRPr="0090609F" w:rsidRDefault="00A04CE1" w:rsidP="00E3364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/>
        <w:ind w:right="-143"/>
        <w:jc w:val="both"/>
        <w:rPr>
          <w:rFonts w:ascii="Arial" w:hAnsi="Arial" w:cs="Arial"/>
        </w:rPr>
      </w:pPr>
      <w:r w:rsidRPr="0090609F">
        <w:rPr>
          <w:rFonts w:ascii="Arial" w:hAnsi="Arial" w:cs="Arial"/>
        </w:rPr>
        <w:t>O</w:t>
      </w:r>
      <w:r w:rsidR="00785020" w:rsidRPr="0090609F">
        <w:rPr>
          <w:rFonts w:ascii="Arial" w:hAnsi="Arial" w:cs="Arial"/>
        </w:rPr>
        <w:t xml:space="preserve"> dispositivo da Lei Estadual nº 6.134/1988 – Lei das Águas Subterrâneas e o Decreto Estadual nº 63261/2018</w:t>
      </w:r>
      <w:r w:rsidRPr="0090609F">
        <w:rPr>
          <w:rFonts w:ascii="Arial" w:hAnsi="Arial" w:cs="Arial"/>
        </w:rPr>
        <w:t>;</w:t>
      </w:r>
    </w:p>
    <w:p w14:paraId="33E3640C" w14:textId="65951D9C" w:rsidR="00A04CE1" w:rsidRPr="0090609F" w:rsidRDefault="00A04CE1" w:rsidP="00E3364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/>
        <w:ind w:right="-143"/>
        <w:jc w:val="both"/>
        <w:rPr>
          <w:rFonts w:ascii="Arial" w:hAnsi="Arial" w:cs="Arial"/>
        </w:rPr>
      </w:pPr>
      <w:r w:rsidRPr="0090609F">
        <w:rPr>
          <w:rFonts w:ascii="Arial" w:hAnsi="Arial" w:cs="Arial"/>
        </w:rPr>
        <w:t>O</w:t>
      </w:r>
      <w:r w:rsidR="00785020" w:rsidRPr="0090609F">
        <w:rPr>
          <w:rFonts w:ascii="Arial" w:hAnsi="Arial" w:cs="Arial"/>
        </w:rPr>
        <w:t xml:space="preserve"> teor da Deliberação CRH n° 52, de 15</w:t>
      </w:r>
      <w:r w:rsidRPr="0090609F">
        <w:rPr>
          <w:rFonts w:ascii="Arial" w:hAnsi="Arial" w:cs="Arial"/>
        </w:rPr>
        <w:t xml:space="preserve"> de abril de </w:t>
      </w:r>
      <w:r w:rsidR="00785020" w:rsidRPr="0090609F">
        <w:rPr>
          <w:rFonts w:ascii="Arial" w:hAnsi="Arial" w:cs="Arial"/>
        </w:rPr>
        <w:t xml:space="preserve">2005, que </w:t>
      </w:r>
      <w:r w:rsidR="00F90DD5" w:rsidRPr="009C684F">
        <w:rPr>
          <w:rFonts w:ascii="Arial" w:hAnsi="Arial" w:cs="Arial"/>
          <w:i/>
          <w:iCs/>
        </w:rPr>
        <w:t>“</w:t>
      </w:r>
      <w:r w:rsidR="00785020" w:rsidRPr="009C684F">
        <w:rPr>
          <w:rFonts w:ascii="Arial" w:hAnsi="Arial" w:cs="Arial"/>
          <w:i/>
          <w:iCs/>
        </w:rPr>
        <w:t>institui</w:t>
      </w:r>
      <w:r w:rsidR="00F90DD5" w:rsidRPr="009C684F">
        <w:rPr>
          <w:rFonts w:ascii="Arial" w:hAnsi="Arial" w:cs="Arial"/>
          <w:i/>
          <w:iCs/>
        </w:rPr>
        <w:t xml:space="preserve"> no âmbito do Sistema Integrado de Gerenciamento de Recursos Hídricos - SIGRH</w:t>
      </w:r>
      <w:r w:rsidR="00785020" w:rsidRPr="009C684F">
        <w:rPr>
          <w:rFonts w:ascii="Arial" w:hAnsi="Arial" w:cs="Arial"/>
          <w:i/>
          <w:iCs/>
        </w:rPr>
        <w:t xml:space="preserve"> diretrizes e procedimentos para a definição de áreas de restrição e controle da captação </w:t>
      </w:r>
      <w:r w:rsidR="00F90DD5" w:rsidRPr="009C684F">
        <w:rPr>
          <w:rFonts w:ascii="Arial" w:hAnsi="Arial" w:cs="Arial"/>
          <w:i/>
          <w:iCs/>
        </w:rPr>
        <w:t xml:space="preserve">e uso </w:t>
      </w:r>
      <w:r w:rsidR="00785020" w:rsidRPr="009C684F">
        <w:rPr>
          <w:rFonts w:ascii="Arial" w:hAnsi="Arial" w:cs="Arial"/>
          <w:i/>
          <w:iCs/>
        </w:rPr>
        <w:t>das águas subterrâneas</w:t>
      </w:r>
      <w:r w:rsidR="00F90DD5">
        <w:rPr>
          <w:rFonts w:ascii="Arial" w:hAnsi="Arial" w:cs="Arial"/>
        </w:rPr>
        <w:t>”</w:t>
      </w:r>
      <w:r w:rsidR="00785020" w:rsidRPr="0090609F">
        <w:rPr>
          <w:rFonts w:ascii="Arial" w:hAnsi="Arial" w:cs="Arial"/>
        </w:rPr>
        <w:t>;</w:t>
      </w:r>
    </w:p>
    <w:p w14:paraId="41B1B0B5" w14:textId="09018006" w:rsidR="00A04CE1" w:rsidRPr="0090609F" w:rsidRDefault="00A04CE1" w:rsidP="00E3364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/>
        <w:ind w:right="-143"/>
        <w:jc w:val="both"/>
        <w:rPr>
          <w:rFonts w:ascii="Arial" w:hAnsi="Arial" w:cs="Arial"/>
        </w:rPr>
      </w:pPr>
      <w:r w:rsidRPr="0090609F">
        <w:rPr>
          <w:rFonts w:ascii="Arial" w:hAnsi="Arial" w:cs="Arial"/>
        </w:rPr>
        <w:t>A</w:t>
      </w:r>
      <w:r w:rsidR="00785020" w:rsidRPr="0090609F">
        <w:rPr>
          <w:rFonts w:ascii="Arial" w:hAnsi="Arial" w:cs="Arial"/>
        </w:rPr>
        <w:t xml:space="preserve"> </w:t>
      </w:r>
      <w:bookmarkStart w:id="0" w:name="_Hlk56101717"/>
      <w:r w:rsidR="00785020" w:rsidRPr="0090609F">
        <w:rPr>
          <w:rFonts w:ascii="Arial" w:hAnsi="Arial" w:cs="Arial"/>
        </w:rPr>
        <w:t xml:space="preserve">Decisão de Diretoria da CETESB </w:t>
      </w:r>
      <w:bookmarkStart w:id="1" w:name="_Hlk56170411"/>
      <w:r w:rsidR="00785020" w:rsidRPr="0090609F">
        <w:rPr>
          <w:rFonts w:ascii="Arial" w:hAnsi="Arial" w:cs="Arial"/>
        </w:rPr>
        <w:t xml:space="preserve">nº 256/20/E </w:t>
      </w:r>
      <w:bookmarkEnd w:id="0"/>
      <w:r w:rsidR="00785020" w:rsidRPr="0090609F">
        <w:rPr>
          <w:rFonts w:ascii="Arial" w:hAnsi="Arial" w:cs="Arial"/>
        </w:rPr>
        <w:t>de 22 de novembro de 2016</w:t>
      </w:r>
      <w:bookmarkEnd w:id="1"/>
      <w:r w:rsidR="00785020" w:rsidRPr="0090609F">
        <w:rPr>
          <w:rFonts w:ascii="Arial" w:hAnsi="Arial" w:cs="Arial"/>
        </w:rPr>
        <w:t>, que dispõe sobre a aprovação dos valores orientadores para solos e águas subterrâneas no Estado de São Paulo;</w:t>
      </w:r>
    </w:p>
    <w:p w14:paraId="29A41354" w14:textId="76C752B6" w:rsidR="00A04CE1" w:rsidRPr="0090609F" w:rsidRDefault="00A04CE1" w:rsidP="00E3364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/>
        <w:ind w:right="-143"/>
        <w:jc w:val="both"/>
        <w:rPr>
          <w:rFonts w:ascii="Arial" w:hAnsi="Arial" w:cs="Arial"/>
        </w:rPr>
      </w:pPr>
      <w:r w:rsidRPr="0090609F">
        <w:rPr>
          <w:rFonts w:ascii="Arial" w:hAnsi="Arial" w:cs="Arial"/>
        </w:rPr>
        <w:t>Os</w:t>
      </w:r>
      <w:r w:rsidR="00785020" w:rsidRPr="0090609F">
        <w:rPr>
          <w:rFonts w:ascii="Arial" w:hAnsi="Arial" w:cs="Arial"/>
        </w:rPr>
        <w:t xml:space="preserve"> termos da </w:t>
      </w:r>
      <w:bookmarkStart w:id="2" w:name="_Hlk56102256"/>
      <w:r w:rsidR="00785020" w:rsidRPr="0090609F">
        <w:rPr>
          <w:rFonts w:ascii="Arial" w:hAnsi="Arial" w:cs="Arial"/>
        </w:rPr>
        <w:t xml:space="preserve">Resolução Conjunta SMA/SERHS/SES nº 3, de 21 de junho de 2006, </w:t>
      </w:r>
      <w:bookmarkEnd w:id="2"/>
      <w:r w:rsidR="00785020" w:rsidRPr="0090609F">
        <w:rPr>
          <w:rFonts w:ascii="Arial" w:hAnsi="Arial" w:cs="Arial"/>
        </w:rPr>
        <w:t>que estabeleceu procedimentos integrados para controle e vigilância de soluções alternativas coletivas de abastecimento de água para consumo humano proveniente de mananciais subterrâneos;</w:t>
      </w:r>
      <w:r w:rsidRPr="0090609F">
        <w:rPr>
          <w:rFonts w:ascii="Arial" w:hAnsi="Arial" w:cs="Arial"/>
        </w:rPr>
        <w:t xml:space="preserve"> </w:t>
      </w:r>
    </w:p>
    <w:p w14:paraId="3D8B2D7A" w14:textId="249DE515" w:rsidR="00A04CE1" w:rsidRPr="0090609F" w:rsidRDefault="00A04CE1" w:rsidP="00E3364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/>
        <w:ind w:right="-143"/>
        <w:jc w:val="both"/>
        <w:rPr>
          <w:rFonts w:ascii="Arial" w:hAnsi="Arial" w:cs="Arial"/>
        </w:rPr>
      </w:pPr>
      <w:r w:rsidRPr="0090609F">
        <w:rPr>
          <w:rFonts w:ascii="Arial" w:hAnsi="Arial" w:cs="Arial"/>
        </w:rPr>
        <w:t>A</w:t>
      </w:r>
      <w:r w:rsidR="00785020" w:rsidRPr="0090609F">
        <w:rPr>
          <w:rFonts w:ascii="Arial" w:hAnsi="Arial" w:cs="Arial"/>
        </w:rPr>
        <w:t xml:space="preserve"> Lei Estadual 13.577 de 8 de julho de 2009 e seu Decreto Regulamentador nº 59.263, de 5 de junho de</w:t>
      </w:r>
      <w:r w:rsidRPr="0090609F">
        <w:rPr>
          <w:rFonts w:ascii="Arial" w:hAnsi="Arial" w:cs="Arial"/>
        </w:rPr>
        <w:t xml:space="preserve"> </w:t>
      </w:r>
      <w:r w:rsidR="00785020" w:rsidRPr="0090609F">
        <w:rPr>
          <w:rFonts w:ascii="Arial" w:hAnsi="Arial" w:cs="Arial"/>
        </w:rPr>
        <w:t>2013, que dispõe sobre diretrizes e procedimentos para a proteção da qualidade do solo e gerenciamento de áreas contaminadas</w:t>
      </w:r>
      <w:r w:rsidRPr="0090609F">
        <w:rPr>
          <w:rFonts w:ascii="Arial" w:hAnsi="Arial" w:cs="Arial"/>
        </w:rPr>
        <w:t xml:space="preserve">; </w:t>
      </w:r>
    </w:p>
    <w:p w14:paraId="7F67CC19" w14:textId="77777777" w:rsidR="00A04CE1" w:rsidRPr="0090609F" w:rsidRDefault="00A04CE1" w:rsidP="00E3364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/>
        <w:ind w:right="-143"/>
        <w:jc w:val="both"/>
        <w:rPr>
          <w:rFonts w:ascii="Arial" w:hAnsi="Arial" w:cs="Arial"/>
        </w:rPr>
      </w:pPr>
      <w:r w:rsidRPr="0090609F">
        <w:rPr>
          <w:rFonts w:ascii="Arial" w:hAnsi="Arial" w:cs="Arial"/>
        </w:rPr>
        <w:t>A</w:t>
      </w:r>
      <w:r w:rsidR="00785020" w:rsidRPr="0090609F">
        <w:rPr>
          <w:rFonts w:ascii="Arial" w:hAnsi="Arial" w:cs="Arial"/>
        </w:rPr>
        <w:t xml:space="preserve"> Decisão de Diretoria nº 038/2017/C, de 07 fevereiro de 2017, que dispõe sobre a aprovação do “Procedimento para a Proteção da Qualidade do Solo e das Águas Subterrâneas”, da revisão do “Procedimento para o Gerenciamento de Áreas Contaminadas” e estabelece “Diretrizes para Gerenciamento de Áreas Contaminadas no Âmbito do Licenciamento Ambiental”</w:t>
      </w:r>
      <w:r w:rsidRPr="0090609F">
        <w:rPr>
          <w:rFonts w:ascii="Arial" w:hAnsi="Arial" w:cs="Arial"/>
        </w:rPr>
        <w:t xml:space="preserve">; </w:t>
      </w:r>
    </w:p>
    <w:p w14:paraId="696E725F" w14:textId="77777777" w:rsidR="00A04CE1" w:rsidRPr="0090609F" w:rsidRDefault="00A04CE1" w:rsidP="00E3364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/>
        <w:ind w:right="-143"/>
        <w:jc w:val="both"/>
        <w:rPr>
          <w:rFonts w:ascii="Arial" w:hAnsi="Arial" w:cs="Arial"/>
        </w:rPr>
      </w:pPr>
      <w:r w:rsidRPr="0090609F">
        <w:rPr>
          <w:rFonts w:ascii="Arial" w:hAnsi="Arial" w:cs="Arial"/>
        </w:rPr>
        <w:t>Os</w:t>
      </w:r>
      <w:r w:rsidR="00785020" w:rsidRPr="0090609F">
        <w:rPr>
          <w:rFonts w:ascii="Arial" w:hAnsi="Arial" w:cs="Arial"/>
        </w:rPr>
        <w:t xml:space="preserve"> termos da Resolução SIMA nº 11, de 8 de agosto de 2017 que dispõe sobre a definição das regiões prioritárias para a identificação de áreas contaminadas;</w:t>
      </w:r>
      <w:r w:rsidRPr="0090609F">
        <w:rPr>
          <w:rFonts w:ascii="Arial" w:hAnsi="Arial" w:cs="Arial"/>
        </w:rPr>
        <w:t xml:space="preserve"> </w:t>
      </w:r>
    </w:p>
    <w:p w14:paraId="53814CDE" w14:textId="77777777" w:rsidR="00A04CE1" w:rsidRPr="0090609F" w:rsidRDefault="00A04CE1" w:rsidP="00E3364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/>
        <w:ind w:right="-143"/>
        <w:jc w:val="both"/>
        <w:rPr>
          <w:rFonts w:ascii="Arial" w:hAnsi="Arial" w:cs="Arial"/>
        </w:rPr>
      </w:pPr>
      <w:r w:rsidRPr="0090609F">
        <w:rPr>
          <w:rFonts w:ascii="Arial" w:hAnsi="Arial" w:cs="Arial"/>
        </w:rPr>
        <w:t>Os</w:t>
      </w:r>
      <w:r w:rsidR="00785020" w:rsidRPr="0090609F">
        <w:rPr>
          <w:rFonts w:ascii="Arial" w:hAnsi="Arial" w:cs="Arial"/>
        </w:rPr>
        <w:t xml:space="preserve"> termos da Resolução SIMA nº 86, de 22 de outubro de 2020 que regulamenta os procedimentos para a integração das autorizações, alvarás de licenças e licenças ambientais com as outorgas, declarações e cadastros de uso e interferências em recursos hídricos;</w:t>
      </w:r>
      <w:r w:rsidRPr="0090609F">
        <w:rPr>
          <w:rFonts w:ascii="Arial" w:hAnsi="Arial" w:cs="Arial"/>
        </w:rPr>
        <w:t xml:space="preserve"> </w:t>
      </w:r>
    </w:p>
    <w:p w14:paraId="066B5BCB" w14:textId="77777777" w:rsidR="00A04CE1" w:rsidRPr="0090609F" w:rsidRDefault="00A04CE1" w:rsidP="00E3364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/>
        <w:ind w:right="-143"/>
        <w:jc w:val="both"/>
        <w:rPr>
          <w:rFonts w:ascii="Arial" w:hAnsi="Arial" w:cs="Arial"/>
        </w:rPr>
      </w:pPr>
      <w:r w:rsidRPr="0090609F">
        <w:rPr>
          <w:rFonts w:ascii="Arial" w:hAnsi="Arial" w:cs="Arial"/>
        </w:rPr>
        <w:t>Os</w:t>
      </w:r>
      <w:r w:rsidR="00785020" w:rsidRPr="0090609F">
        <w:rPr>
          <w:rFonts w:ascii="Arial" w:hAnsi="Arial" w:cs="Arial"/>
        </w:rPr>
        <w:t xml:space="preserve"> termos da Resolução CONAMA n° 420 de 2009, que dispõe sobre critérios e valores orientadores de qualidade do solo quanto à presença de substâncias químicas e estabelece diretrizes para o gerenciamento ambiental de áreas contaminadas por essas substâncias em decorrência de atividades antrópicas</w:t>
      </w:r>
      <w:r w:rsidRPr="0090609F">
        <w:rPr>
          <w:rFonts w:ascii="Arial" w:hAnsi="Arial" w:cs="Arial"/>
        </w:rPr>
        <w:t xml:space="preserve">; </w:t>
      </w:r>
    </w:p>
    <w:p w14:paraId="7EA84A4F" w14:textId="77777777" w:rsidR="00A04CE1" w:rsidRPr="0090609F" w:rsidRDefault="00A04CE1" w:rsidP="00E3364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/>
        <w:ind w:right="-143"/>
        <w:jc w:val="both"/>
        <w:rPr>
          <w:rFonts w:ascii="Arial" w:hAnsi="Arial" w:cs="Arial"/>
        </w:rPr>
      </w:pPr>
      <w:r w:rsidRPr="0090609F">
        <w:rPr>
          <w:rFonts w:ascii="Arial" w:hAnsi="Arial" w:cs="Arial"/>
        </w:rPr>
        <w:t>Os</w:t>
      </w:r>
      <w:r w:rsidR="00785020" w:rsidRPr="0090609F">
        <w:rPr>
          <w:rFonts w:ascii="Arial" w:hAnsi="Arial" w:cs="Arial"/>
        </w:rPr>
        <w:t xml:space="preserve"> termos do </w:t>
      </w:r>
      <w:bookmarkStart w:id="3" w:name="_Hlk56101330"/>
      <w:r w:rsidR="00785020" w:rsidRPr="0090609F">
        <w:rPr>
          <w:rFonts w:ascii="Arial" w:hAnsi="Arial" w:cs="Arial"/>
        </w:rPr>
        <w:t xml:space="preserve">Anexo </w:t>
      </w:r>
      <w:r w:rsidR="00785020" w:rsidRPr="00D71BF5">
        <w:rPr>
          <w:rFonts w:ascii="Arial" w:hAnsi="Arial" w:cs="Arial"/>
        </w:rPr>
        <w:t>XX</w:t>
      </w:r>
      <w:r w:rsidR="00785020" w:rsidRPr="0090609F">
        <w:rPr>
          <w:rFonts w:ascii="Arial" w:hAnsi="Arial" w:cs="Arial"/>
        </w:rPr>
        <w:t xml:space="preserve"> da Portaria de Consolidação nº 5 de 28 de setembro de 2017, do Ministério da Saúde,</w:t>
      </w:r>
      <w:bookmarkEnd w:id="3"/>
      <w:r w:rsidR="00785020" w:rsidRPr="0090609F">
        <w:rPr>
          <w:rFonts w:ascii="Arial" w:hAnsi="Arial" w:cs="Arial"/>
        </w:rPr>
        <w:t xml:space="preserve"> que versa sobre o controle e a vigilância da qualidade da água para consumo humano e seu padrão de potabilidade</w:t>
      </w:r>
      <w:r w:rsidRPr="0090609F">
        <w:rPr>
          <w:rFonts w:ascii="Arial" w:hAnsi="Arial" w:cs="Arial"/>
        </w:rPr>
        <w:t xml:space="preserve">; </w:t>
      </w:r>
    </w:p>
    <w:p w14:paraId="49BA0EE0" w14:textId="43C5F492" w:rsidR="004707BD" w:rsidRPr="0090609F" w:rsidRDefault="004707BD" w:rsidP="004707BD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/>
        <w:ind w:right="-143"/>
        <w:jc w:val="both"/>
        <w:rPr>
          <w:rFonts w:ascii="Arial" w:hAnsi="Arial" w:cs="Arial"/>
        </w:rPr>
      </w:pPr>
      <w:r w:rsidRPr="0090609F">
        <w:rPr>
          <w:rFonts w:ascii="Arial" w:hAnsi="Arial" w:cs="Arial"/>
        </w:rPr>
        <w:t>Os termos d</w:t>
      </w:r>
      <w:r>
        <w:rPr>
          <w:rFonts w:ascii="Arial" w:hAnsi="Arial" w:cs="Arial"/>
        </w:rPr>
        <w:t xml:space="preserve">a </w:t>
      </w:r>
      <w:r w:rsidRPr="0090609F">
        <w:rPr>
          <w:rFonts w:ascii="Arial" w:hAnsi="Arial" w:cs="Arial"/>
        </w:rPr>
        <w:t xml:space="preserve">Resolução SS-65, de 02 de agosto de 2016, que estabelece as competências e procedimentos relativos ao controle e vigilância da qualidade da água para o consumo humano no âmbito do Programa de Vigilância da Qualidade da Água no Estado de São Paulo – </w:t>
      </w:r>
      <w:proofErr w:type="spellStart"/>
      <w:r w:rsidRPr="0090609F">
        <w:rPr>
          <w:rFonts w:ascii="Arial" w:hAnsi="Arial" w:cs="Arial"/>
        </w:rPr>
        <w:t>Proágua</w:t>
      </w:r>
      <w:proofErr w:type="spellEnd"/>
      <w:r w:rsidRPr="0090609F">
        <w:rPr>
          <w:rFonts w:ascii="Arial" w:hAnsi="Arial" w:cs="Arial"/>
        </w:rPr>
        <w:t xml:space="preserve"> e dá outras providências;</w:t>
      </w:r>
    </w:p>
    <w:p w14:paraId="75488421" w14:textId="1C44695F" w:rsidR="00042CC6" w:rsidRDefault="004707BD" w:rsidP="00042CC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0609F">
        <w:rPr>
          <w:rFonts w:ascii="Arial" w:hAnsi="Arial" w:cs="Arial"/>
        </w:rPr>
        <w:lastRenderedPageBreak/>
        <w:t>Os termos do decreto n° 44577 de 07 de abril de 2004 que regulamenta a Lei Municipal nº 13.725/2004 que institui o Código Sanitário no município de São Paulo; disciplina o cadastro municipal de vigilância sanitária e estabelece os procedimentos administrativos de vigilância em saúde;</w:t>
      </w:r>
    </w:p>
    <w:p w14:paraId="1EC032C4" w14:textId="2A0858C8" w:rsidR="00042CC6" w:rsidRDefault="00042CC6" w:rsidP="00042CC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0609F">
        <w:rPr>
          <w:rFonts w:ascii="Arial" w:hAnsi="Arial" w:cs="Arial"/>
        </w:rPr>
        <w:t xml:space="preserve">Os termos </w:t>
      </w:r>
      <w:r>
        <w:rPr>
          <w:rFonts w:ascii="Arial" w:hAnsi="Arial" w:cs="Arial"/>
        </w:rPr>
        <w:t>d</w:t>
      </w:r>
      <w:r w:rsidRPr="0090609F">
        <w:rPr>
          <w:rFonts w:ascii="Arial" w:hAnsi="Arial" w:cs="Arial"/>
        </w:rPr>
        <w:t>a Portaria nº 2215/2016 SMS.G., que estabelece os procedimentos para o requerimento de inscrição Cadastro Municipal de Vigilância em Saúde – CMVS ou da licença de funcionamento sanitário</w:t>
      </w:r>
      <w:r>
        <w:rPr>
          <w:rFonts w:ascii="Arial" w:hAnsi="Arial" w:cs="Arial"/>
        </w:rPr>
        <w:t>;</w:t>
      </w:r>
    </w:p>
    <w:p w14:paraId="6CDCC587" w14:textId="69348596" w:rsidR="00A04CE1" w:rsidRPr="0090609F" w:rsidRDefault="00A04CE1" w:rsidP="00E3364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/>
        <w:ind w:right="-143"/>
        <w:jc w:val="both"/>
        <w:rPr>
          <w:rFonts w:ascii="Arial" w:hAnsi="Arial" w:cs="Arial"/>
        </w:rPr>
      </w:pPr>
      <w:r w:rsidRPr="0090609F">
        <w:rPr>
          <w:rFonts w:ascii="Arial" w:hAnsi="Arial" w:cs="Arial"/>
        </w:rPr>
        <w:t>O</w:t>
      </w:r>
      <w:r w:rsidR="00785020" w:rsidRPr="0090609F">
        <w:rPr>
          <w:rFonts w:ascii="Arial" w:hAnsi="Arial" w:cs="Arial"/>
        </w:rPr>
        <w:t xml:space="preserve"> relatório de estudo</w:t>
      </w:r>
      <w:r w:rsidRPr="0090609F">
        <w:rPr>
          <w:rFonts w:ascii="Arial" w:hAnsi="Arial" w:cs="Arial"/>
        </w:rPr>
        <w:t xml:space="preserve"> </w:t>
      </w:r>
      <w:r w:rsidR="00785020" w:rsidRPr="0090609F">
        <w:rPr>
          <w:rFonts w:ascii="Arial" w:hAnsi="Arial" w:cs="Arial"/>
        </w:rPr>
        <w:t>intitulado “Delimitação de Áreas de Restrição e Controle de Captação e Uso de Águas Subterrâneas no Município de São Paulo – Bloco B: Aqu</w:t>
      </w:r>
      <w:r w:rsidRPr="0090609F">
        <w:rPr>
          <w:rFonts w:ascii="Arial" w:hAnsi="Arial" w:cs="Arial"/>
        </w:rPr>
        <w:t>í</w:t>
      </w:r>
      <w:r w:rsidR="00785020" w:rsidRPr="0090609F">
        <w:rPr>
          <w:rFonts w:ascii="Arial" w:hAnsi="Arial" w:cs="Arial"/>
        </w:rPr>
        <w:t xml:space="preserve">fero Cristalino”, executado pela SERVMAR Serviços Técnicos Ambientais Ltda, conforme contrato </w:t>
      </w:r>
      <w:r w:rsidR="007735C8">
        <w:rPr>
          <w:rFonts w:ascii="Arial" w:hAnsi="Arial" w:cs="Arial"/>
        </w:rPr>
        <w:t>d</w:t>
      </w:r>
      <w:r w:rsidR="00785020" w:rsidRPr="0090609F">
        <w:rPr>
          <w:rFonts w:ascii="Arial" w:hAnsi="Arial" w:cs="Arial"/>
        </w:rPr>
        <w:t>o Departamento de Águas e Energia Elétrica (DAEE) n° 2007/15/0003/00 e projeto CORHI n° 53 de 2005;</w:t>
      </w:r>
    </w:p>
    <w:p w14:paraId="23B40C8A" w14:textId="046EA7A1" w:rsidR="00A04CE1" w:rsidRDefault="00EE105B" w:rsidP="00E3364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/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Que, em função da</w:t>
      </w:r>
      <w:r w:rsidR="007105D0">
        <w:rPr>
          <w:rFonts w:ascii="Arial" w:hAnsi="Arial" w:cs="Arial"/>
        </w:rPr>
        <w:t xml:space="preserve"> necessidade de revisão e atualização da</w:t>
      </w:r>
      <w:r w:rsidR="00A04CE1" w:rsidRPr="0090609F">
        <w:rPr>
          <w:rFonts w:ascii="Arial" w:hAnsi="Arial" w:cs="Arial"/>
        </w:rPr>
        <w:t xml:space="preserve"> </w:t>
      </w:r>
      <w:r w:rsidR="00785020" w:rsidRPr="0090609F">
        <w:rPr>
          <w:rFonts w:ascii="Arial" w:hAnsi="Arial" w:cs="Arial"/>
        </w:rPr>
        <w:t xml:space="preserve">Deliberação CBH-AT 01 de 16 de fevereiro de 2011, que estabelece áreas de restrição e controle para a captação e uso das águas subterrâneas no município de São Paulo, na região de </w:t>
      </w:r>
      <w:proofErr w:type="spellStart"/>
      <w:r w:rsidR="00785020" w:rsidRPr="0090609F">
        <w:rPr>
          <w:rFonts w:ascii="Arial" w:hAnsi="Arial" w:cs="Arial"/>
        </w:rPr>
        <w:t>Jurubatuba</w:t>
      </w:r>
      <w:proofErr w:type="spellEnd"/>
      <w:r w:rsidR="007105D0">
        <w:rPr>
          <w:rFonts w:ascii="Arial" w:hAnsi="Arial" w:cs="Arial"/>
        </w:rPr>
        <w:t>,</w:t>
      </w:r>
      <w:r w:rsidR="007105D0" w:rsidRPr="007105D0">
        <w:rPr>
          <w:rFonts w:ascii="Arial" w:hAnsi="Arial" w:cs="Arial"/>
        </w:rPr>
        <w:t xml:space="preserve"> </w:t>
      </w:r>
      <w:r w:rsidR="007105D0">
        <w:rPr>
          <w:rFonts w:ascii="Arial" w:hAnsi="Arial" w:cs="Arial"/>
        </w:rPr>
        <w:t>a Câmara Técnica de Monitoramento Hidrológico do CBH-AT criou</w:t>
      </w:r>
      <w:r w:rsidR="00F3327D">
        <w:rPr>
          <w:rFonts w:ascii="Arial" w:hAnsi="Arial" w:cs="Arial"/>
        </w:rPr>
        <w:t>,</w:t>
      </w:r>
      <w:r w:rsidR="007105D0">
        <w:rPr>
          <w:rFonts w:ascii="Arial" w:hAnsi="Arial" w:cs="Arial"/>
        </w:rPr>
        <w:t xml:space="preserve"> </w:t>
      </w:r>
      <w:r w:rsidR="0082380C">
        <w:rPr>
          <w:rFonts w:ascii="Arial" w:hAnsi="Arial" w:cs="Arial"/>
        </w:rPr>
        <w:t xml:space="preserve">em </w:t>
      </w:r>
      <w:proofErr w:type="spellStart"/>
      <w:r w:rsidR="0082380C">
        <w:rPr>
          <w:rFonts w:ascii="Arial" w:hAnsi="Arial" w:cs="Arial"/>
        </w:rPr>
        <w:t>xxx</w:t>
      </w:r>
      <w:proofErr w:type="spellEnd"/>
      <w:r w:rsidR="0082380C">
        <w:rPr>
          <w:rFonts w:ascii="Arial" w:hAnsi="Arial" w:cs="Arial"/>
        </w:rPr>
        <w:t>/</w:t>
      </w:r>
      <w:proofErr w:type="spellStart"/>
      <w:r w:rsidR="0082380C">
        <w:rPr>
          <w:rFonts w:ascii="Arial" w:hAnsi="Arial" w:cs="Arial"/>
        </w:rPr>
        <w:t>xx</w:t>
      </w:r>
      <w:proofErr w:type="spellEnd"/>
      <w:r w:rsidR="0082380C">
        <w:rPr>
          <w:rFonts w:ascii="Arial" w:hAnsi="Arial" w:cs="Arial"/>
        </w:rPr>
        <w:t>/2020</w:t>
      </w:r>
      <w:r w:rsidR="00F3327D">
        <w:rPr>
          <w:rFonts w:ascii="Arial" w:hAnsi="Arial" w:cs="Arial"/>
        </w:rPr>
        <w:t>,</w:t>
      </w:r>
      <w:r w:rsidR="0082380C">
        <w:rPr>
          <w:rFonts w:ascii="Arial" w:hAnsi="Arial" w:cs="Arial"/>
        </w:rPr>
        <w:t xml:space="preserve"> </w:t>
      </w:r>
      <w:r w:rsidR="007105D0">
        <w:rPr>
          <w:rFonts w:ascii="Arial" w:hAnsi="Arial" w:cs="Arial"/>
        </w:rPr>
        <w:t xml:space="preserve">Grupo de Trabalho que apresentou proposta de </w:t>
      </w:r>
      <w:r w:rsidR="00A719B4">
        <w:rPr>
          <w:rFonts w:ascii="Arial" w:hAnsi="Arial" w:cs="Arial"/>
        </w:rPr>
        <w:t xml:space="preserve">rerratificação </w:t>
      </w:r>
      <w:r w:rsidR="00A91FD2">
        <w:rPr>
          <w:rFonts w:ascii="Arial" w:hAnsi="Arial" w:cs="Arial"/>
        </w:rPr>
        <w:t>da referida Deliberação</w:t>
      </w:r>
      <w:r w:rsidR="007105D0">
        <w:rPr>
          <w:rFonts w:ascii="Arial" w:hAnsi="Arial" w:cs="Arial"/>
        </w:rPr>
        <w:t>;</w:t>
      </w:r>
    </w:p>
    <w:p w14:paraId="24216BEF" w14:textId="0098F0AD" w:rsidR="007F6727" w:rsidRPr="007F6727" w:rsidRDefault="007F6727" w:rsidP="00E3364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/>
        <w:ind w:right="-143"/>
        <w:jc w:val="both"/>
        <w:rPr>
          <w:rFonts w:ascii="Arial" w:hAnsi="Arial" w:cs="Arial"/>
          <w:color w:val="FF0000"/>
        </w:rPr>
      </w:pPr>
      <w:r w:rsidRPr="007F6727">
        <w:rPr>
          <w:rFonts w:ascii="Arial" w:hAnsi="Arial" w:cs="Arial"/>
          <w:color w:val="FF0000"/>
        </w:rPr>
        <w:t>O atendimento ao determinado na Resolução CRH nº 52, de 14 de abril de 2005, em seu artigo 2º, § 3º, a secretaria executiva do CBH-AT realizou em XXXX, audiência pública da proposta de alteração da Deliberação CBH-AT  01, de 16.02.2011 e posteriormente encaminhou as manifestações para apreciação final da plenária do CBH-AT;</w:t>
      </w:r>
    </w:p>
    <w:p w14:paraId="6A2BE772" w14:textId="01D4EC86" w:rsidR="00042CC6" w:rsidRDefault="007105D0" w:rsidP="00E3364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/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Que, e</w:t>
      </w:r>
      <w:r w:rsidR="00D829CD">
        <w:rPr>
          <w:rFonts w:ascii="Arial" w:hAnsi="Arial" w:cs="Arial"/>
        </w:rPr>
        <w:t xml:space="preserve">m reunião plenária de </w:t>
      </w:r>
      <w:proofErr w:type="spellStart"/>
      <w:r w:rsidR="00D829CD">
        <w:rPr>
          <w:rFonts w:ascii="Arial" w:hAnsi="Arial" w:cs="Arial"/>
        </w:rPr>
        <w:t>xx</w:t>
      </w:r>
      <w:proofErr w:type="spellEnd"/>
      <w:r w:rsidR="00D829CD">
        <w:rPr>
          <w:rFonts w:ascii="Arial" w:hAnsi="Arial" w:cs="Arial"/>
        </w:rPr>
        <w:t>/</w:t>
      </w:r>
      <w:proofErr w:type="spellStart"/>
      <w:r w:rsidR="00D829CD">
        <w:rPr>
          <w:rFonts w:ascii="Arial" w:hAnsi="Arial" w:cs="Arial"/>
        </w:rPr>
        <w:t>xxx</w:t>
      </w:r>
      <w:proofErr w:type="spellEnd"/>
      <w:r w:rsidR="00D829CD">
        <w:rPr>
          <w:rFonts w:ascii="Arial" w:hAnsi="Arial" w:cs="Arial"/>
        </w:rPr>
        <w:t xml:space="preserve">/ 2021 o Comitê da Bacia Hidrográfica do Alto Tietê CBH-AT analisou e aprovou a minuta de </w:t>
      </w:r>
      <w:r w:rsidR="00D829CD" w:rsidRPr="00F90DD5">
        <w:rPr>
          <w:rFonts w:ascii="Arial" w:hAnsi="Arial" w:cs="Arial"/>
        </w:rPr>
        <w:t xml:space="preserve">Deliberação que </w:t>
      </w:r>
      <w:proofErr w:type="spellStart"/>
      <w:r w:rsidR="005F7E28">
        <w:rPr>
          <w:rFonts w:ascii="Arial" w:hAnsi="Arial" w:cs="Arial"/>
        </w:rPr>
        <w:t>rerratifica</w:t>
      </w:r>
      <w:proofErr w:type="spellEnd"/>
      <w:r w:rsidR="005F7E28" w:rsidRPr="00F90DD5">
        <w:rPr>
          <w:rFonts w:ascii="Arial" w:hAnsi="Arial" w:cs="Arial"/>
        </w:rPr>
        <w:t xml:space="preserve"> </w:t>
      </w:r>
      <w:r w:rsidR="00D829CD" w:rsidRPr="00F90DD5">
        <w:rPr>
          <w:rFonts w:ascii="Arial" w:hAnsi="Arial" w:cs="Arial"/>
        </w:rPr>
        <w:t>a Área de Restrição</w:t>
      </w:r>
      <w:r w:rsidR="00D829CD">
        <w:rPr>
          <w:rFonts w:ascii="Arial" w:hAnsi="Arial" w:cs="Arial"/>
        </w:rPr>
        <w:t xml:space="preserve"> e Controle da Águas Subterrâneas na região de </w:t>
      </w:r>
      <w:proofErr w:type="spellStart"/>
      <w:r w:rsidR="00D829CD">
        <w:rPr>
          <w:rFonts w:ascii="Arial" w:hAnsi="Arial" w:cs="Arial"/>
        </w:rPr>
        <w:t>Jurubatuba</w:t>
      </w:r>
      <w:proofErr w:type="spellEnd"/>
      <w:r w:rsidR="00D829CD">
        <w:rPr>
          <w:rFonts w:ascii="Arial" w:hAnsi="Arial" w:cs="Arial"/>
        </w:rPr>
        <w:t xml:space="preserve">, apresentada pelas Câmaras Técnicas de Águas Subterrâneas e </w:t>
      </w:r>
      <w:r w:rsidR="00D829CD" w:rsidRPr="0090609F">
        <w:rPr>
          <w:rFonts w:ascii="Arial" w:hAnsi="Arial" w:cs="Arial"/>
        </w:rPr>
        <w:t>Planejamento e Gestão e Águas Subterrâneas do CBH-AT</w:t>
      </w:r>
      <w:r w:rsidR="00D829CD">
        <w:rPr>
          <w:rFonts w:ascii="Arial" w:hAnsi="Arial" w:cs="Arial"/>
        </w:rPr>
        <w:t>;</w:t>
      </w:r>
    </w:p>
    <w:p w14:paraId="0E0F5E83" w14:textId="030EC2AB" w:rsidR="00D829CD" w:rsidRDefault="007105D0" w:rsidP="00D829CD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/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Que, e</w:t>
      </w:r>
      <w:r w:rsidR="00D829CD">
        <w:rPr>
          <w:rFonts w:ascii="Arial" w:hAnsi="Arial" w:cs="Arial"/>
        </w:rPr>
        <w:t xml:space="preserve">m reunião plenária de </w:t>
      </w:r>
      <w:proofErr w:type="spellStart"/>
      <w:r w:rsidR="00D829CD">
        <w:rPr>
          <w:rFonts w:ascii="Arial" w:hAnsi="Arial" w:cs="Arial"/>
        </w:rPr>
        <w:t>xx</w:t>
      </w:r>
      <w:proofErr w:type="spellEnd"/>
      <w:r w:rsidR="00D829CD">
        <w:rPr>
          <w:rFonts w:ascii="Arial" w:hAnsi="Arial" w:cs="Arial"/>
        </w:rPr>
        <w:t>/</w:t>
      </w:r>
      <w:proofErr w:type="spellStart"/>
      <w:r w:rsidR="00D829CD">
        <w:rPr>
          <w:rFonts w:ascii="Arial" w:hAnsi="Arial" w:cs="Arial"/>
        </w:rPr>
        <w:t>xxx</w:t>
      </w:r>
      <w:proofErr w:type="spellEnd"/>
      <w:r w:rsidR="00D829CD">
        <w:rPr>
          <w:rFonts w:ascii="Arial" w:hAnsi="Arial" w:cs="Arial"/>
        </w:rPr>
        <w:t xml:space="preserve">/ 2021 o </w:t>
      </w:r>
      <w:r w:rsidR="00583E21">
        <w:rPr>
          <w:rFonts w:ascii="Arial" w:hAnsi="Arial" w:cs="Arial"/>
        </w:rPr>
        <w:t xml:space="preserve">Conselho Estadual de Recursos Hídricos CRH/SP, em atendimento </w:t>
      </w:r>
      <w:r w:rsidR="00F90DD5">
        <w:rPr>
          <w:rFonts w:ascii="Arial" w:hAnsi="Arial" w:cs="Arial"/>
        </w:rPr>
        <w:t>ao artigo 3º da Deliberação CRH Nº 52</w:t>
      </w:r>
      <w:r w:rsidR="00F90DD5" w:rsidRPr="0090609F">
        <w:rPr>
          <w:rFonts w:ascii="Arial" w:hAnsi="Arial" w:cs="Arial"/>
        </w:rPr>
        <w:t>, de 15 de abril de 2005</w:t>
      </w:r>
      <w:r w:rsidR="00583E21">
        <w:rPr>
          <w:rFonts w:ascii="Arial" w:hAnsi="Arial" w:cs="Arial"/>
        </w:rPr>
        <w:t>, homologou</w:t>
      </w:r>
      <w:r w:rsidR="00D829CD">
        <w:rPr>
          <w:rFonts w:ascii="Arial" w:hAnsi="Arial" w:cs="Arial"/>
        </w:rPr>
        <w:t xml:space="preserve"> a </w:t>
      </w:r>
      <w:r w:rsidR="00D829CD" w:rsidRPr="005C5EAB">
        <w:rPr>
          <w:rFonts w:ascii="Arial" w:hAnsi="Arial" w:cs="Arial"/>
        </w:rPr>
        <w:t xml:space="preserve">Deliberação </w:t>
      </w:r>
      <w:r w:rsidR="00583E21">
        <w:rPr>
          <w:rFonts w:ascii="Arial" w:hAnsi="Arial" w:cs="Arial"/>
        </w:rPr>
        <w:t xml:space="preserve">Nº __ de ____ </w:t>
      </w:r>
      <w:proofErr w:type="spellStart"/>
      <w:r w:rsidR="00583E21">
        <w:rPr>
          <w:rFonts w:ascii="Arial" w:hAnsi="Arial" w:cs="Arial"/>
        </w:rPr>
        <w:t>de</w:t>
      </w:r>
      <w:proofErr w:type="spellEnd"/>
      <w:r w:rsidR="00583E21">
        <w:rPr>
          <w:rFonts w:ascii="Arial" w:hAnsi="Arial" w:cs="Arial"/>
        </w:rPr>
        <w:t xml:space="preserve"> ____ </w:t>
      </w:r>
      <w:proofErr w:type="spellStart"/>
      <w:r w:rsidR="00583E21">
        <w:rPr>
          <w:rFonts w:ascii="Arial" w:hAnsi="Arial" w:cs="Arial"/>
        </w:rPr>
        <w:t>de</w:t>
      </w:r>
      <w:proofErr w:type="spellEnd"/>
      <w:r w:rsidR="00583E21">
        <w:rPr>
          <w:rFonts w:ascii="Arial" w:hAnsi="Arial" w:cs="Arial"/>
        </w:rPr>
        <w:t xml:space="preserve"> 2021 </w:t>
      </w:r>
      <w:r w:rsidR="00D829CD" w:rsidRPr="005C5EAB">
        <w:rPr>
          <w:rFonts w:ascii="Arial" w:hAnsi="Arial" w:cs="Arial"/>
        </w:rPr>
        <w:t xml:space="preserve">que </w:t>
      </w:r>
      <w:proofErr w:type="spellStart"/>
      <w:r w:rsidR="005F7E28">
        <w:rPr>
          <w:rFonts w:ascii="Arial" w:hAnsi="Arial" w:cs="Arial"/>
        </w:rPr>
        <w:t>rerratifica</w:t>
      </w:r>
      <w:proofErr w:type="spellEnd"/>
      <w:r w:rsidR="005F7E28" w:rsidRPr="005C5EAB">
        <w:rPr>
          <w:rFonts w:ascii="Arial" w:hAnsi="Arial" w:cs="Arial"/>
        </w:rPr>
        <w:t xml:space="preserve"> </w:t>
      </w:r>
      <w:r w:rsidR="00D829CD" w:rsidRPr="005C5EAB">
        <w:rPr>
          <w:rFonts w:ascii="Arial" w:hAnsi="Arial" w:cs="Arial"/>
        </w:rPr>
        <w:t>a Área de Restrição</w:t>
      </w:r>
      <w:r w:rsidR="00D829CD">
        <w:rPr>
          <w:rFonts w:ascii="Arial" w:hAnsi="Arial" w:cs="Arial"/>
        </w:rPr>
        <w:t xml:space="preserve"> e Controle da Águas Subterrâneas na região de </w:t>
      </w:r>
      <w:proofErr w:type="spellStart"/>
      <w:r w:rsidR="00D829CD">
        <w:rPr>
          <w:rFonts w:ascii="Arial" w:hAnsi="Arial" w:cs="Arial"/>
        </w:rPr>
        <w:t>Jurubatuba</w:t>
      </w:r>
      <w:proofErr w:type="spellEnd"/>
      <w:r w:rsidR="00D829CD">
        <w:rPr>
          <w:rFonts w:ascii="Arial" w:hAnsi="Arial" w:cs="Arial"/>
        </w:rPr>
        <w:t>;</w:t>
      </w:r>
    </w:p>
    <w:p w14:paraId="2D4DB663" w14:textId="77777777" w:rsidR="00E33649" w:rsidRPr="0090609F" w:rsidRDefault="00E33649" w:rsidP="00E33649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4C5C675" w14:textId="77777777" w:rsidR="0075481E" w:rsidRPr="0090609F" w:rsidRDefault="0075481E" w:rsidP="00E336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0609F">
        <w:rPr>
          <w:rFonts w:ascii="Arial" w:hAnsi="Arial" w:cs="Arial"/>
          <w:b/>
          <w:sz w:val="22"/>
          <w:szCs w:val="22"/>
        </w:rPr>
        <w:t>Delibera:</w:t>
      </w:r>
    </w:p>
    <w:p w14:paraId="536F24FE" w14:textId="77777777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9EB036E" w14:textId="6E13A4DA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609F">
        <w:rPr>
          <w:rFonts w:ascii="Arial" w:hAnsi="Arial" w:cs="Arial"/>
          <w:b/>
          <w:bCs/>
          <w:sz w:val="22"/>
          <w:szCs w:val="22"/>
        </w:rPr>
        <w:t>Artigo 1º</w:t>
      </w:r>
      <w:r w:rsidRPr="0090609F">
        <w:rPr>
          <w:rFonts w:ascii="Arial" w:hAnsi="Arial" w:cs="Arial"/>
          <w:sz w:val="22"/>
          <w:szCs w:val="22"/>
        </w:rPr>
        <w:t xml:space="preserve"> - Fica </w:t>
      </w:r>
      <w:proofErr w:type="spellStart"/>
      <w:r w:rsidR="00804218">
        <w:rPr>
          <w:rFonts w:ascii="Arial" w:hAnsi="Arial" w:cs="Arial"/>
          <w:sz w:val="22"/>
          <w:szCs w:val="22"/>
        </w:rPr>
        <w:t>rerratificada</w:t>
      </w:r>
      <w:proofErr w:type="spellEnd"/>
      <w:r w:rsidR="00804218" w:rsidRPr="0090609F">
        <w:rPr>
          <w:rFonts w:ascii="Arial" w:hAnsi="Arial" w:cs="Arial"/>
          <w:sz w:val="22"/>
          <w:szCs w:val="22"/>
        </w:rPr>
        <w:t xml:space="preserve"> </w:t>
      </w:r>
      <w:r w:rsidRPr="0090609F">
        <w:rPr>
          <w:rFonts w:ascii="Arial" w:hAnsi="Arial" w:cs="Arial"/>
          <w:sz w:val="22"/>
          <w:szCs w:val="22"/>
        </w:rPr>
        <w:t xml:space="preserve">a Deliberação CBH-AT 01/2011, </w:t>
      </w:r>
      <w:r w:rsidR="00A91FD2">
        <w:rPr>
          <w:rFonts w:ascii="Arial" w:hAnsi="Arial" w:cs="Arial"/>
          <w:sz w:val="22"/>
          <w:szCs w:val="22"/>
        </w:rPr>
        <w:t xml:space="preserve">nos termos aqui </w:t>
      </w:r>
      <w:r w:rsidRPr="0090609F">
        <w:rPr>
          <w:rFonts w:ascii="Arial" w:hAnsi="Arial" w:cs="Arial"/>
          <w:sz w:val="22"/>
          <w:szCs w:val="22"/>
        </w:rPr>
        <w:t>estabelecid</w:t>
      </w:r>
      <w:r w:rsidR="00A91FD2">
        <w:rPr>
          <w:rFonts w:ascii="Arial" w:hAnsi="Arial" w:cs="Arial"/>
          <w:sz w:val="22"/>
          <w:szCs w:val="22"/>
        </w:rPr>
        <w:t>o</w:t>
      </w:r>
      <w:r w:rsidRPr="0090609F">
        <w:rPr>
          <w:rFonts w:ascii="Arial" w:hAnsi="Arial" w:cs="Arial"/>
          <w:sz w:val="22"/>
          <w:szCs w:val="22"/>
        </w:rPr>
        <w:t xml:space="preserve">s, e definida a continuidade da </w:t>
      </w:r>
      <w:bookmarkStart w:id="4" w:name="_Hlk56083373"/>
      <w:r w:rsidRPr="0090609F">
        <w:rPr>
          <w:rFonts w:ascii="Arial" w:hAnsi="Arial" w:cs="Arial"/>
          <w:sz w:val="22"/>
          <w:szCs w:val="22"/>
        </w:rPr>
        <w:t xml:space="preserve">Área de Restrição e Controle (ARC) para captação e uso das águas subterrâneas na região de </w:t>
      </w:r>
      <w:proofErr w:type="spellStart"/>
      <w:r w:rsidRPr="0090609F">
        <w:rPr>
          <w:rFonts w:ascii="Arial" w:hAnsi="Arial" w:cs="Arial"/>
          <w:sz w:val="22"/>
          <w:szCs w:val="22"/>
        </w:rPr>
        <w:t>Jurubatuba</w:t>
      </w:r>
      <w:proofErr w:type="spellEnd"/>
      <w:r w:rsidRPr="0090609F">
        <w:rPr>
          <w:rFonts w:ascii="Arial" w:hAnsi="Arial" w:cs="Arial"/>
          <w:sz w:val="22"/>
          <w:szCs w:val="22"/>
        </w:rPr>
        <w:t>,</w:t>
      </w:r>
      <w:bookmarkEnd w:id="4"/>
      <w:r w:rsidRPr="0090609F">
        <w:rPr>
          <w:rFonts w:ascii="Arial" w:hAnsi="Arial" w:cs="Arial"/>
          <w:sz w:val="22"/>
          <w:szCs w:val="22"/>
        </w:rPr>
        <w:t xml:space="preserve"> no município de São Paulo, delimitada no mapa constante do Anexo I.</w:t>
      </w:r>
    </w:p>
    <w:p w14:paraId="77EF8706" w14:textId="77777777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B1BD8E2" w14:textId="48104181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90609F">
        <w:rPr>
          <w:rFonts w:ascii="Arial" w:hAnsi="Arial" w:cs="Arial"/>
          <w:b/>
          <w:bCs/>
          <w:sz w:val="22"/>
          <w:szCs w:val="22"/>
        </w:rPr>
        <w:t>Parágrafo Único</w:t>
      </w:r>
      <w:r w:rsidRPr="0090609F">
        <w:rPr>
          <w:rFonts w:ascii="Arial" w:hAnsi="Arial" w:cs="Arial"/>
          <w:sz w:val="22"/>
          <w:szCs w:val="22"/>
        </w:rPr>
        <w:t xml:space="preserve"> - </w:t>
      </w:r>
      <w:r w:rsidRPr="0090609F">
        <w:rPr>
          <w:rFonts w:ascii="Arial" w:hAnsi="Arial" w:cs="Arial"/>
          <w:iCs/>
          <w:sz w:val="22"/>
          <w:szCs w:val="22"/>
        </w:rPr>
        <w:t>Caberá ao Departamento de Águas e Energia Elétrica – DAEE disponibilizar em sua página eletrônica na Internet mapa constante do Anexo I e, também, informar ao usuário, mediante consulta</w:t>
      </w:r>
      <w:r w:rsidR="00610EF3">
        <w:rPr>
          <w:rFonts w:ascii="Arial" w:hAnsi="Arial" w:cs="Arial"/>
          <w:iCs/>
          <w:sz w:val="22"/>
          <w:szCs w:val="22"/>
        </w:rPr>
        <w:t xml:space="preserve">, </w:t>
      </w:r>
      <w:r w:rsidR="00610EF3">
        <w:rPr>
          <w:rFonts w:ascii="Arial" w:hAnsi="Arial" w:cs="Arial"/>
          <w:iCs/>
          <w:color w:val="FF0000"/>
          <w:sz w:val="22"/>
          <w:szCs w:val="22"/>
        </w:rPr>
        <w:t>conforme procedimento publicado no site do DAEE</w:t>
      </w:r>
      <w:r w:rsidRPr="0090609F">
        <w:rPr>
          <w:rFonts w:ascii="Arial" w:hAnsi="Arial" w:cs="Arial"/>
          <w:iCs/>
          <w:sz w:val="22"/>
          <w:szCs w:val="22"/>
        </w:rPr>
        <w:t>, a posição de locais de seu interesse em relação à Área de Restrição e Controle (ARC).</w:t>
      </w:r>
    </w:p>
    <w:p w14:paraId="365C1890" w14:textId="77777777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272A93" w14:textId="77777777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609F">
        <w:rPr>
          <w:rFonts w:ascii="Arial" w:hAnsi="Arial" w:cs="Arial"/>
          <w:b/>
          <w:bCs/>
          <w:sz w:val="22"/>
          <w:szCs w:val="22"/>
        </w:rPr>
        <w:t>Artigo 2º</w:t>
      </w:r>
      <w:r w:rsidRPr="0090609F">
        <w:rPr>
          <w:rFonts w:ascii="Arial" w:hAnsi="Arial" w:cs="Arial"/>
          <w:sz w:val="22"/>
          <w:szCs w:val="22"/>
        </w:rPr>
        <w:t xml:space="preserve"> - Para fins do disposto nesta Deliberação, considera-se:</w:t>
      </w:r>
    </w:p>
    <w:p w14:paraId="27991036" w14:textId="77777777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0FB40C" w14:textId="4F6E95B6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609F">
        <w:rPr>
          <w:rFonts w:ascii="Arial" w:hAnsi="Arial" w:cs="Arial"/>
          <w:b/>
          <w:bCs/>
          <w:sz w:val="22"/>
          <w:szCs w:val="22"/>
        </w:rPr>
        <w:lastRenderedPageBreak/>
        <w:t>I</w:t>
      </w:r>
      <w:r w:rsidRPr="0090609F">
        <w:rPr>
          <w:rFonts w:ascii="Arial" w:hAnsi="Arial" w:cs="Arial"/>
          <w:sz w:val="22"/>
          <w:szCs w:val="22"/>
        </w:rPr>
        <w:t xml:space="preserve"> - Área de Restrição e Controle de uso de águas subterrâneas: aquela onde existe a necessidade de disciplinar as atividades que possam causar alterações ou efeitos negativos sobre a quantidade ou qualidade das águas subterrâneas, por meio do estabelecimento de regras específicas sobre as condições de uso e ações de fiscalização, com o objetivo de propiciar o uso seguro das águas subterrâneas, protegendo a saúde humana e outros bens a proteger envolvidos;</w:t>
      </w:r>
    </w:p>
    <w:p w14:paraId="137AEE54" w14:textId="77777777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15C84E" w14:textId="77777777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609F">
        <w:rPr>
          <w:rFonts w:ascii="Arial" w:hAnsi="Arial" w:cs="Arial"/>
          <w:b/>
          <w:bCs/>
          <w:sz w:val="22"/>
          <w:szCs w:val="22"/>
        </w:rPr>
        <w:t xml:space="preserve">II </w:t>
      </w:r>
      <w:r w:rsidRPr="0090609F">
        <w:rPr>
          <w:rFonts w:ascii="Arial" w:hAnsi="Arial" w:cs="Arial"/>
          <w:sz w:val="22"/>
          <w:szCs w:val="22"/>
        </w:rPr>
        <w:t>– Poço ou obra de captação: qualquer obra, sistema, processo, artefato ou sua combinação, empregado pelo homem com o fim principal ou incidental de extrair água subterrânea;</w:t>
      </w:r>
    </w:p>
    <w:p w14:paraId="54B25697" w14:textId="77777777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B0BB3E" w14:textId="77777777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609F">
        <w:rPr>
          <w:rFonts w:ascii="Arial" w:hAnsi="Arial" w:cs="Arial"/>
          <w:b/>
          <w:bCs/>
          <w:sz w:val="22"/>
          <w:szCs w:val="22"/>
        </w:rPr>
        <w:t>III</w:t>
      </w:r>
      <w:r w:rsidRPr="0090609F">
        <w:rPr>
          <w:rFonts w:ascii="Arial" w:hAnsi="Arial" w:cs="Arial"/>
          <w:sz w:val="22"/>
          <w:szCs w:val="22"/>
        </w:rPr>
        <w:t xml:space="preserve"> – Desativação de poço: conjunto de procedimentos que objetivam a desativação permanente (tamponamento) ou temporária (desativação temporária) de um poço;</w:t>
      </w:r>
    </w:p>
    <w:p w14:paraId="0F0C11F1" w14:textId="77777777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D190AEA" w14:textId="616BC4A9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609F">
        <w:rPr>
          <w:rFonts w:ascii="Arial" w:hAnsi="Arial" w:cs="Arial"/>
          <w:b/>
          <w:bCs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 xml:space="preserve"> </w:t>
      </w:r>
      <w:r w:rsidRPr="0090609F">
        <w:rPr>
          <w:rFonts w:ascii="Arial" w:hAnsi="Arial" w:cs="Arial"/>
          <w:sz w:val="22"/>
          <w:szCs w:val="22"/>
        </w:rPr>
        <w:t>- Água para consumo humano: água potável destinada à ingestão, preparação e produção de alimentos e à higiene pessoal, independentemente da sua origem</w:t>
      </w:r>
      <w:r w:rsidR="00A91FD2">
        <w:rPr>
          <w:rFonts w:ascii="Arial" w:hAnsi="Arial" w:cs="Arial"/>
          <w:sz w:val="22"/>
          <w:szCs w:val="22"/>
        </w:rPr>
        <w:t>.</w:t>
      </w:r>
    </w:p>
    <w:p w14:paraId="23875091" w14:textId="77777777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92A8C9E" w14:textId="16C7E393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609F">
        <w:rPr>
          <w:rFonts w:ascii="Arial" w:hAnsi="Arial" w:cs="Arial"/>
          <w:b/>
          <w:bCs/>
          <w:sz w:val="22"/>
          <w:szCs w:val="22"/>
        </w:rPr>
        <w:t>Artigo 3º</w:t>
      </w:r>
      <w:r w:rsidRPr="0090609F">
        <w:rPr>
          <w:rFonts w:ascii="Arial" w:hAnsi="Arial" w:cs="Arial"/>
          <w:sz w:val="22"/>
          <w:szCs w:val="22"/>
        </w:rPr>
        <w:t xml:space="preserve"> - Na Área de Restrição e Controle (ARC) para captação e uso das águas subterrâneas na região de </w:t>
      </w:r>
      <w:proofErr w:type="spellStart"/>
      <w:r w:rsidRPr="0090609F">
        <w:rPr>
          <w:rFonts w:ascii="Arial" w:hAnsi="Arial" w:cs="Arial"/>
          <w:sz w:val="22"/>
          <w:szCs w:val="22"/>
        </w:rPr>
        <w:t>Jurubatuba</w:t>
      </w:r>
      <w:proofErr w:type="spellEnd"/>
      <w:r w:rsidRPr="0090609F">
        <w:rPr>
          <w:rFonts w:ascii="Arial" w:hAnsi="Arial" w:cs="Arial"/>
          <w:sz w:val="22"/>
          <w:szCs w:val="22"/>
        </w:rPr>
        <w:t>, a concessão da outorga para novos poços de abastecimento ou a renovação da outorga dos poços de abastecimento existentes antes da publicação desta Deliberação, poderá ser concedida desde que o responsável legal pelo poço</w:t>
      </w:r>
      <w:r>
        <w:rPr>
          <w:rFonts w:ascii="Arial" w:hAnsi="Arial" w:cs="Arial"/>
          <w:sz w:val="22"/>
          <w:szCs w:val="22"/>
        </w:rPr>
        <w:t xml:space="preserve"> </w:t>
      </w:r>
      <w:r w:rsidRPr="0090609F">
        <w:rPr>
          <w:rFonts w:ascii="Arial" w:hAnsi="Arial" w:cs="Arial"/>
          <w:sz w:val="22"/>
          <w:szCs w:val="22"/>
        </w:rPr>
        <w:t>obedeça às seguintes condições e critérios:</w:t>
      </w:r>
    </w:p>
    <w:p w14:paraId="106136E2" w14:textId="77777777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833964" w14:textId="0B7B1F0B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71CC6">
        <w:rPr>
          <w:rFonts w:ascii="Arial" w:hAnsi="Arial" w:cs="Arial"/>
          <w:b/>
          <w:bCs/>
          <w:sz w:val="22"/>
          <w:szCs w:val="22"/>
        </w:rPr>
        <w:t xml:space="preserve">I </w:t>
      </w:r>
      <w:r w:rsidRPr="0090609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90609F">
        <w:rPr>
          <w:rFonts w:ascii="Arial" w:hAnsi="Arial" w:cs="Arial"/>
          <w:sz w:val="22"/>
          <w:szCs w:val="22"/>
        </w:rPr>
        <w:t xml:space="preserve">As exigências estabelecidas na Portaria DAEE nº 1.630/2017, </w:t>
      </w:r>
      <w:proofErr w:type="spellStart"/>
      <w:r w:rsidR="006431EF">
        <w:rPr>
          <w:rFonts w:ascii="Arial" w:hAnsi="Arial" w:cs="Arial"/>
          <w:sz w:val="22"/>
          <w:szCs w:val="22"/>
        </w:rPr>
        <w:t>rerratificada</w:t>
      </w:r>
      <w:proofErr w:type="spellEnd"/>
      <w:r w:rsidR="006431EF" w:rsidRPr="0090609F">
        <w:rPr>
          <w:rFonts w:ascii="Arial" w:hAnsi="Arial" w:cs="Arial"/>
          <w:sz w:val="22"/>
          <w:szCs w:val="22"/>
        </w:rPr>
        <w:t xml:space="preserve"> </w:t>
      </w:r>
      <w:r w:rsidRPr="0090609F">
        <w:rPr>
          <w:rFonts w:ascii="Arial" w:hAnsi="Arial" w:cs="Arial"/>
          <w:sz w:val="22"/>
          <w:szCs w:val="22"/>
        </w:rPr>
        <w:t xml:space="preserve">em 24/06/2020 e na </w:t>
      </w:r>
      <w:bookmarkStart w:id="5" w:name="_Hlk56598489"/>
      <w:r w:rsidRPr="0090609F">
        <w:rPr>
          <w:rFonts w:ascii="Arial" w:hAnsi="Arial" w:cs="Arial"/>
          <w:bCs/>
          <w:sz w:val="22"/>
          <w:szCs w:val="22"/>
        </w:rPr>
        <w:t>Resolução Conjunta SMA/SERHS/SES nº 03/2006</w:t>
      </w:r>
      <w:bookmarkEnd w:id="5"/>
      <w:r w:rsidR="00A91FD2">
        <w:rPr>
          <w:rFonts w:ascii="Arial" w:hAnsi="Arial" w:cs="Arial"/>
          <w:bCs/>
          <w:sz w:val="22"/>
          <w:szCs w:val="22"/>
        </w:rPr>
        <w:t>;</w:t>
      </w:r>
    </w:p>
    <w:p w14:paraId="513DA17F" w14:textId="77777777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4695BD4" w14:textId="675E019E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1CC6">
        <w:rPr>
          <w:rFonts w:ascii="Arial" w:hAnsi="Arial" w:cs="Arial"/>
          <w:b/>
          <w:sz w:val="22"/>
          <w:szCs w:val="22"/>
        </w:rPr>
        <w:t xml:space="preserve">II </w:t>
      </w:r>
      <w:r w:rsidRPr="0090609F">
        <w:rPr>
          <w:rFonts w:ascii="Arial" w:hAnsi="Arial" w:cs="Arial"/>
          <w:bCs/>
          <w:sz w:val="22"/>
          <w:szCs w:val="22"/>
        </w:rPr>
        <w:t xml:space="preserve">– O poço de abastecimento deve </w:t>
      </w:r>
      <w:r w:rsidRPr="0090609F">
        <w:rPr>
          <w:rFonts w:ascii="Arial" w:hAnsi="Arial" w:cs="Arial"/>
          <w:sz w:val="22"/>
          <w:szCs w:val="22"/>
        </w:rPr>
        <w:t>explorar as águas provenientes exclusivamente do aquífero cristalino, não sendo permitida a outorga para poços que explorem as águas do aquífero sedimentar</w:t>
      </w:r>
      <w:r w:rsidR="006A68E4">
        <w:rPr>
          <w:rFonts w:ascii="Arial" w:hAnsi="Arial" w:cs="Arial"/>
          <w:sz w:val="22"/>
          <w:szCs w:val="22"/>
        </w:rPr>
        <w:t>;</w:t>
      </w:r>
    </w:p>
    <w:p w14:paraId="18F4B3ED" w14:textId="77777777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A751C0" w14:textId="2FA8EFD2" w:rsidR="0090609F" w:rsidRPr="0090609F" w:rsidRDefault="0090609F" w:rsidP="00E33649">
      <w:pPr>
        <w:jc w:val="both"/>
        <w:rPr>
          <w:rFonts w:ascii="Arial" w:hAnsi="Arial" w:cs="Arial"/>
          <w:sz w:val="22"/>
          <w:szCs w:val="22"/>
        </w:rPr>
      </w:pPr>
      <w:r w:rsidRPr="00871CC6">
        <w:rPr>
          <w:rFonts w:ascii="Arial" w:hAnsi="Arial" w:cs="Arial"/>
          <w:b/>
          <w:bCs/>
          <w:sz w:val="22"/>
          <w:szCs w:val="22"/>
        </w:rPr>
        <w:t xml:space="preserve">III </w:t>
      </w:r>
      <w:r w:rsidRPr="0090609F">
        <w:rPr>
          <w:rFonts w:ascii="Arial" w:hAnsi="Arial" w:cs="Arial"/>
          <w:sz w:val="22"/>
          <w:szCs w:val="22"/>
        </w:rPr>
        <w:t xml:space="preserve">- Apresentação de relatório contendo laudo </w:t>
      </w:r>
      <w:r w:rsidR="00610EF3" w:rsidRPr="00610EF3">
        <w:rPr>
          <w:rFonts w:ascii="Arial" w:hAnsi="Arial" w:cs="Arial"/>
          <w:color w:val="FF0000"/>
          <w:sz w:val="22"/>
          <w:szCs w:val="22"/>
        </w:rPr>
        <w:t>conclusivo</w:t>
      </w:r>
      <w:r w:rsidRPr="00610EF3">
        <w:rPr>
          <w:rFonts w:ascii="Arial" w:hAnsi="Arial" w:cs="Arial"/>
          <w:color w:val="FF0000"/>
          <w:sz w:val="22"/>
          <w:szCs w:val="22"/>
        </w:rPr>
        <w:t xml:space="preserve"> </w:t>
      </w:r>
      <w:r w:rsidRPr="0090609F">
        <w:rPr>
          <w:rFonts w:ascii="Arial" w:hAnsi="Arial" w:cs="Arial"/>
          <w:sz w:val="22"/>
          <w:szCs w:val="22"/>
        </w:rPr>
        <w:t>a partir da aplicação de métodos adequados</w:t>
      </w:r>
      <w:r w:rsidR="00A91FD2">
        <w:rPr>
          <w:rFonts w:ascii="Arial" w:hAnsi="Arial" w:cs="Arial"/>
          <w:sz w:val="22"/>
          <w:szCs w:val="22"/>
        </w:rPr>
        <w:t>,</w:t>
      </w:r>
      <w:r w:rsidRPr="0090609F">
        <w:rPr>
          <w:rFonts w:ascii="Arial" w:hAnsi="Arial" w:cs="Arial"/>
          <w:sz w:val="22"/>
          <w:szCs w:val="22"/>
        </w:rPr>
        <w:t xml:space="preserve"> acompanhados de Anotação de Responsabilidade Técnica - ART, demonstrando que o poço explora somente o aquífero cristalino e que não existem infiltrações passíveis de contaminar o aquífero explorado</w:t>
      </w:r>
      <w:r w:rsidR="006A68E4">
        <w:rPr>
          <w:rFonts w:ascii="Arial" w:hAnsi="Arial" w:cs="Arial"/>
          <w:sz w:val="22"/>
          <w:szCs w:val="22"/>
        </w:rPr>
        <w:t>;</w:t>
      </w:r>
    </w:p>
    <w:p w14:paraId="73F83DF7" w14:textId="77777777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6E1974" w14:textId="53CC6D9F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6" w:name="_Hlk56106984"/>
      <w:r w:rsidRPr="00871CC6">
        <w:rPr>
          <w:rFonts w:ascii="Arial" w:hAnsi="Arial" w:cs="Arial"/>
          <w:b/>
          <w:bCs/>
          <w:sz w:val="22"/>
          <w:szCs w:val="22"/>
        </w:rPr>
        <w:t xml:space="preserve">IV </w:t>
      </w:r>
      <w:r w:rsidRPr="0090609F">
        <w:rPr>
          <w:rFonts w:ascii="Arial" w:hAnsi="Arial" w:cs="Arial"/>
          <w:sz w:val="22"/>
          <w:szCs w:val="22"/>
        </w:rPr>
        <w:t xml:space="preserve">– Realização das análises físico-químicas e microbiológicas das águas coletadas após a perfuração de novo poço de abastecimento ou coletadas periodicamente no poço de abastecimento. Os parâmetros a serem analisados são os de potabilidade, definidos no Anexo XX da Portaria de Consolidação nº 05/2017 do Ministério da Saúde e os parâmetros etenos clorados (EEC), etanos clorados (EAC) e seus produtos de degradação(1,1-Dicloroetano, 1,2-Dicloroetano, 1,1,1-Tricloroetano, Cloreto de </w:t>
      </w:r>
      <w:proofErr w:type="spellStart"/>
      <w:r w:rsidR="00713111">
        <w:rPr>
          <w:rFonts w:ascii="Arial" w:hAnsi="Arial" w:cs="Arial"/>
          <w:sz w:val="22"/>
          <w:szCs w:val="22"/>
        </w:rPr>
        <w:t>V</w:t>
      </w:r>
      <w:r w:rsidRPr="0090609F">
        <w:rPr>
          <w:rFonts w:ascii="Arial" w:hAnsi="Arial" w:cs="Arial"/>
          <w:sz w:val="22"/>
          <w:szCs w:val="22"/>
        </w:rPr>
        <w:t>inila</w:t>
      </w:r>
      <w:proofErr w:type="spellEnd"/>
      <w:r w:rsidRPr="0090609F">
        <w:rPr>
          <w:rFonts w:ascii="Arial" w:hAnsi="Arial" w:cs="Arial"/>
          <w:sz w:val="22"/>
          <w:szCs w:val="22"/>
        </w:rPr>
        <w:t xml:space="preserve">, 1,1-Dicloroeteno, cis 1,2-Dicloroeteno, trans 1,2-Dicloroeteno, </w:t>
      </w:r>
      <w:proofErr w:type="spellStart"/>
      <w:r w:rsidRPr="0090609F">
        <w:rPr>
          <w:rFonts w:ascii="Arial" w:hAnsi="Arial" w:cs="Arial"/>
          <w:sz w:val="22"/>
          <w:szCs w:val="22"/>
        </w:rPr>
        <w:t>Tricloroeteno</w:t>
      </w:r>
      <w:proofErr w:type="spellEnd"/>
      <w:r w:rsidRPr="0090609F">
        <w:rPr>
          <w:rFonts w:ascii="Arial" w:hAnsi="Arial" w:cs="Arial"/>
          <w:sz w:val="22"/>
          <w:szCs w:val="22"/>
        </w:rPr>
        <w:t xml:space="preserve"> – TCE e </w:t>
      </w:r>
      <w:proofErr w:type="spellStart"/>
      <w:r w:rsidRPr="0090609F">
        <w:rPr>
          <w:rFonts w:ascii="Arial" w:hAnsi="Arial" w:cs="Arial"/>
          <w:sz w:val="22"/>
          <w:szCs w:val="22"/>
        </w:rPr>
        <w:t>Tetracloroeteno</w:t>
      </w:r>
      <w:proofErr w:type="spellEnd"/>
      <w:r w:rsidRPr="0090609F">
        <w:rPr>
          <w:rFonts w:ascii="Arial" w:hAnsi="Arial" w:cs="Arial"/>
          <w:sz w:val="22"/>
          <w:szCs w:val="22"/>
        </w:rPr>
        <w:t xml:space="preserve"> – PCE)</w:t>
      </w:r>
      <w:r w:rsidR="0088639F">
        <w:rPr>
          <w:rFonts w:ascii="Arial" w:hAnsi="Arial" w:cs="Arial"/>
          <w:sz w:val="22"/>
          <w:szCs w:val="22"/>
        </w:rPr>
        <w:t>.</w:t>
      </w:r>
    </w:p>
    <w:p w14:paraId="32529BD3" w14:textId="77777777" w:rsidR="0090609F" w:rsidRPr="00A11F24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highlight w:val="cyan"/>
        </w:rPr>
      </w:pPr>
    </w:p>
    <w:p w14:paraId="32854077" w14:textId="343B436D" w:rsidR="0058787E" w:rsidRPr="0090609F" w:rsidRDefault="0058787E" w:rsidP="005878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609F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90609F">
        <w:rPr>
          <w:rFonts w:ascii="Arial" w:hAnsi="Arial" w:cs="Arial"/>
          <w:b/>
          <w:bCs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- Aos poços </w:t>
      </w:r>
      <w:r w:rsidR="0044171C">
        <w:rPr>
          <w:rFonts w:ascii="Arial" w:hAnsi="Arial" w:cs="Arial"/>
          <w:sz w:val="22"/>
          <w:szCs w:val="22"/>
        </w:rPr>
        <w:t xml:space="preserve">cujas </w:t>
      </w:r>
      <w:r w:rsidRPr="0090609F">
        <w:rPr>
          <w:rFonts w:ascii="Arial" w:hAnsi="Arial" w:cs="Arial"/>
          <w:sz w:val="22"/>
          <w:szCs w:val="22"/>
        </w:rPr>
        <w:t xml:space="preserve">atividades utilizam a água estritamente em processos industriais, desde que não haja consumo humano, contato dérmico ou inalação e que não seja incorporada ao produto, não se aplica a exigência de realização de análises para determinação de potabilidade, conforme estabelecido no </w:t>
      </w:r>
      <w:r w:rsidR="0039268F">
        <w:rPr>
          <w:rFonts w:ascii="Arial" w:hAnsi="Arial" w:cs="Arial"/>
          <w:sz w:val="22"/>
          <w:szCs w:val="22"/>
        </w:rPr>
        <w:t>A</w:t>
      </w:r>
      <w:r w:rsidRPr="0090609F">
        <w:rPr>
          <w:rFonts w:ascii="Arial" w:hAnsi="Arial" w:cs="Arial"/>
          <w:sz w:val="22"/>
          <w:szCs w:val="22"/>
        </w:rPr>
        <w:t>nexo XX da Portaria de Consolidação n</w:t>
      </w:r>
      <w:r w:rsidR="006A68EF">
        <w:rPr>
          <w:rFonts w:ascii="Arial" w:hAnsi="Arial" w:cs="Arial"/>
          <w:sz w:val="22"/>
          <w:szCs w:val="22"/>
        </w:rPr>
        <w:t>º</w:t>
      </w:r>
      <w:r w:rsidRPr="0090609F">
        <w:rPr>
          <w:rFonts w:ascii="Arial" w:hAnsi="Arial" w:cs="Arial"/>
          <w:sz w:val="22"/>
          <w:szCs w:val="22"/>
        </w:rPr>
        <w:t xml:space="preserve"> </w:t>
      </w:r>
      <w:r w:rsidR="006A68EF">
        <w:rPr>
          <w:rFonts w:ascii="Arial" w:hAnsi="Arial" w:cs="Arial"/>
          <w:sz w:val="22"/>
          <w:szCs w:val="22"/>
        </w:rPr>
        <w:t>0</w:t>
      </w:r>
      <w:r w:rsidRPr="0090609F">
        <w:rPr>
          <w:rFonts w:ascii="Arial" w:hAnsi="Arial" w:cs="Arial"/>
          <w:sz w:val="22"/>
          <w:szCs w:val="22"/>
        </w:rPr>
        <w:t>5/2017 do Ministério da Saúde.</w:t>
      </w:r>
    </w:p>
    <w:p w14:paraId="76F6F5C5" w14:textId="77777777" w:rsidR="0058787E" w:rsidRDefault="0058787E" w:rsidP="00E336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630C971" w14:textId="3462C949" w:rsidR="0090609F" w:rsidRPr="0090609F" w:rsidRDefault="0058787E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609F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90609F">
        <w:rPr>
          <w:rFonts w:ascii="Arial" w:hAnsi="Arial" w:cs="Arial"/>
          <w:b/>
          <w:bCs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</w:t>
      </w:r>
      <w:r w:rsidR="006A68E4" w:rsidRPr="0090609F">
        <w:rPr>
          <w:rFonts w:ascii="Arial" w:hAnsi="Arial" w:cs="Arial"/>
          <w:bCs/>
          <w:sz w:val="22"/>
          <w:szCs w:val="22"/>
        </w:rPr>
        <w:t xml:space="preserve">- </w:t>
      </w:r>
      <w:r w:rsidR="0090609F" w:rsidRPr="0090609F">
        <w:rPr>
          <w:rFonts w:ascii="Arial" w:hAnsi="Arial" w:cs="Arial"/>
          <w:sz w:val="22"/>
          <w:szCs w:val="22"/>
        </w:rPr>
        <w:t xml:space="preserve">O relatório mencionado no Inciso III, as demais instruções para a elaboração das análises químicas, assim como a confecção e entrega dos relatórios </w:t>
      </w:r>
      <w:r w:rsidR="006A68E4" w:rsidRPr="0090609F">
        <w:rPr>
          <w:rFonts w:ascii="Arial" w:hAnsi="Arial" w:cs="Arial"/>
          <w:sz w:val="22"/>
          <w:szCs w:val="22"/>
        </w:rPr>
        <w:t>d</w:t>
      </w:r>
      <w:r w:rsidR="006A68E4">
        <w:rPr>
          <w:rFonts w:ascii="Arial" w:hAnsi="Arial" w:cs="Arial"/>
          <w:sz w:val="22"/>
          <w:szCs w:val="22"/>
        </w:rPr>
        <w:t>e</w:t>
      </w:r>
      <w:r w:rsidR="006A68E4" w:rsidRPr="0090609F">
        <w:rPr>
          <w:rFonts w:ascii="Arial" w:hAnsi="Arial" w:cs="Arial"/>
          <w:sz w:val="22"/>
          <w:szCs w:val="22"/>
        </w:rPr>
        <w:t xml:space="preserve"> </w:t>
      </w:r>
      <w:r w:rsidR="0090609F" w:rsidRPr="0090609F">
        <w:rPr>
          <w:rFonts w:ascii="Arial" w:hAnsi="Arial" w:cs="Arial"/>
          <w:sz w:val="22"/>
          <w:szCs w:val="22"/>
        </w:rPr>
        <w:t xml:space="preserve">monitoramento, deverão seguir as orientações disponibilizadas no “site” do DAEE, CETESB e Vigilância Sanitária. Os documentos assim produzidos deverão compor o Banco de Dados da ARC de </w:t>
      </w:r>
      <w:proofErr w:type="spellStart"/>
      <w:r w:rsidR="0090609F" w:rsidRPr="0090609F">
        <w:rPr>
          <w:rFonts w:ascii="Arial" w:hAnsi="Arial" w:cs="Arial"/>
          <w:sz w:val="22"/>
          <w:szCs w:val="22"/>
        </w:rPr>
        <w:t>Jurubatuba</w:t>
      </w:r>
      <w:proofErr w:type="spellEnd"/>
      <w:r w:rsidR="0090609F" w:rsidRPr="0090609F">
        <w:rPr>
          <w:rFonts w:ascii="Arial" w:hAnsi="Arial" w:cs="Arial"/>
          <w:sz w:val="22"/>
          <w:szCs w:val="22"/>
        </w:rPr>
        <w:t xml:space="preserve"> sob a responsabilidade da CETESB, que ficará disponível aos</w:t>
      </w:r>
      <w:r w:rsidR="0018726D">
        <w:rPr>
          <w:rFonts w:ascii="Arial" w:hAnsi="Arial" w:cs="Arial"/>
          <w:sz w:val="22"/>
          <w:szCs w:val="22"/>
        </w:rPr>
        <w:t xml:space="preserve"> </w:t>
      </w:r>
      <w:r w:rsidR="0018726D" w:rsidRPr="003905DC">
        <w:rPr>
          <w:rFonts w:ascii="Arial" w:hAnsi="Arial" w:cs="Arial"/>
          <w:color w:val="FF0000"/>
          <w:sz w:val="22"/>
          <w:szCs w:val="22"/>
        </w:rPr>
        <w:t>demais</w:t>
      </w:r>
      <w:r w:rsidR="0090609F" w:rsidRPr="0090609F">
        <w:rPr>
          <w:rFonts w:ascii="Arial" w:hAnsi="Arial" w:cs="Arial"/>
          <w:sz w:val="22"/>
          <w:szCs w:val="22"/>
        </w:rPr>
        <w:t xml:space="preserve"> órgãos </w:t>
      </w:r>
      <w:r w:rsidR="0090609F" w:rsidRPr="0090609F">
        <w:rPr>
          <w:rFonts w:ascii="Arial" w:hAnsi="Arial" w:cs="Arial"/>
          <w:sz w:val="22"/>
          <w:szCs w:val="22"/>
        </w:rPr>
        <w:lastRenderedPageBreak/>
        <w:t>gestores, DAEE e as Vigilâncias Estadual e Municipal de Saúde para fins de fiscalização e tomada de decisão;</w:t>
      </w:r>
    </w:p>
    <w:p w14:paraId="5B95B655" w14:textId="77777777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bookmarkEnd w:id="6"/>
    <w:p w14:paraId="1BE5BB74" w14:textId="3FF10E98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609F">
        <w:rPr>
          <w:rFonts w:ascii="Arial" w:hAnsi="Arial" w:cs="Arial"/>
          <w:b/>
          <w:bCs/>
          <w:sz w:val="22"/>
          <w:szCs w:val="22"/>
        </w:rPr>
        <w:t>Artigo 4º</w:t>
      </w:r>
      <w:r w:rsidRPr="0090609F">
        <w:rPr>
          <w:rFonts w:ascii="Arial" w:hAnsi="Arial" w:cs="Arial"/>
          <w:sz w:val="22"/>
          <w:szCs w:val="22"/>
        </w:rPr>
        <w:t xml:space="preserve"> - Os resultados dos laudos produzidos na forma do </w:t>
      </w:r>
      <w:r>
        <w:rPr>
          <w:rFonts w:ascii="Arial" w:hAnsi="Arial" w:cs="Arial"/>
          <w:sz w:val="22"/>
          <w:szCs w:val="22"/>
        </w:rPr>
        <w:t>A</w:t>
      </w:r>
      <w:r w:rsidRPr="0090609F">
        <w:rPr>
          <w:rFonts w:ascii="Arial" w:hAnsi="Arial" w:cs="Arial"/>
          <w:sz w:val="22"/>
          <w:szCs w:val="22"/>
        </w:rPr>
        <w:t>rtigo 3º poderão deflagar as seguintes ações:</w:t>
      </w:r>
    </w:p>
    <w:p w14:paraId="575511E1" w14:textId="77777777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59BBC2D" w14:textId="3ADA9BB8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1CC6">
        <w:rPr>
          <w:rFonts w:ascii="Arial" w:hAnsi="Arial" w:cs="Arial"/>
          <w:b/>
          <w:bCs/>
          <w:sz w:val="22"/>
          <w:szCs w:val="22"/>
        </w:rPr>
        <w:t>I</w:t>
      </w:r>
      <w:r w:rsidRPr="0090609F">
        <w:rPr>
          <w:rFonts w:ascii="Arial" w:hAnsi="Arial" w:cs="Arial"/>
          <w:sz w:val="22"/>
          <w:szCs w:val="22"/>
        </w:rPr>
        <w:t xml:space="preserve"> </w:t>
      </w:r>
      <w:r w:rsidR="006A68E4">
        <w:rPr>
          <w:rFonts w:ascii="Arial" w:hAnsi="Arial" w:cs="Arial"/>
          <w:sz w:val="22"/>
          <w:szCs w:val="22"/>
        </w:rPr>
        <w:t>–</w:t>
      </w:r>
      <w:r w:rsidRPr="0090609F">
        <w:rPr>
          <w:rFonts w:ascii="Arial" w:hAnsi="Arial" w:cs="Arial"/>
          <w:sz w:val="22"/>
          <w:szCs w:val="22"/>
        </w:rPr>
        <w:t xml:space="preserve"> </w:t>
      </w:r>
      <w:r w:rsidR="006A68E4">
        <w:rPr>
          <w:rFonts w:ascii="Arial" w:hAnsi="Arial" w:cs="Arial"/>
          <w:sz w:val="22"/>
          <w:szCs w:val="22"/>
        </w:rPr>
        <w:t>Se o</w:t>
      </w:r>
      <w:r w:rsidRPr="0090609F">
        <w:rPr>
          <w:rFonts w:ascii="Arial" w:hAnsi="Arial" w:cs="Arial"/>
          <w:sz w:val="22"/>
          <w:szCs w:val="22"/>
        </w:rPr>
        <w:t xml:space="preserve">s resultados das análises físico-químicas e microbiológicas das águas coletadas após a perfuração de novo poço de abastecimento ou coletadas periodicamente no poço de abastecimento, conforme </w:t>
      </w:r>
      <w:r w:rsidR="00A90EA2">
        <w:rPr>
          <w:rFonts w:ascii="Arial" w:hAnsi="Arial" w:cs="Arial"/>
          <w:sz w:val="22"/>
          <w:szCs w:val="22"/>
        </w:rPr>
        <w:t>i</w:t>
      </w:r>
      <w:r w:rsidR="00014A57" w:rsidRPr="00E760B1">
        <w:rPr>
          <w:rFonts w:ascii="Arial" w:hAnsi="Arial" w:cs="Arial"/>
          <w:sz w:val="22"/>
          <w:szCs w:val="22"/>
        </w:rPr>
        <w:t xml:space="preserve">nciso IV do </w:t>
      </w:r>
      <w:r w:rsidR="006B25AC" w:rsidRPr="00E760B1">
        <w:rPr>
          <w:rFonts w:ascii="Arial" w:hAnsi="Arial" w:cs="Arial"/>
          <w:sz w:val="22"/>
          <w:szCs w:val="22"/>
        </w:rPr>
        <w:t xml:space="preserve">artigo </w:t>
      </w:r>
      <w:r w:rsidR="00014A57" w:rsidRPr="00E760B1">
        <w:rPr>
          <w:rFonts w:ascii="Arial" w:hAnsi="Arial" w:cs="Arial"/>
          <w:sz w:val="22"/>
          <w:szCs w:val="22"/>
        </w:rPr>
        <w:t>3</w:t>
      </w:r>
      <w:r w:rsidR="00A90EA2">
        <w:rPr>
          <w:rFonts w:ascii="Arial" w:hAnsi="Arial" w:cs="Arial"/>
          <w:sz w:val="22"/>
          <w:szCs w:val="22"/>
        </w:rPr>
        <w:t>º</w:t>
      </w:r>
      <w:r w:rsidRPr="0090609F">
        <w:rPr>
          <w:rFonts w:ascii="Arial" w:hAnsi="Arial" w:cs="Arial"/>
          <w:sz w:val="22"/>
          <w:szCs w:val="22"/>
        </w:rPr>
        <w:t>, atender</w:t>
      </w:r>
      <w:r w:rsidR="00014A57">
        <w:rPr>
          <w:rFonts w:ascii="Arial" w:hAnsi="Arial" w:cs="Arial"/>
          <w:sz w:val="22"/>
          <w:szCs w:val="22"/>
        </w:rPr>
        <w:t>em</w:t>
      </w:r>
      <w:r w:rsidRPr="0090609F">
        <w:rPr>
          <w:rFonts w:ascii="Arial" w:hAnsi="Arial" w:cs="Arial"/>
          <w:sz w:val="22"/>
          <w:szCs w:val="22"/>
        </w:rPr>
        <w:t xml:space="preserve"> aos padrões de potabilidade e frequências estabelecidos  no Anexo XX da Portaria de Consolidação nº 05/2017, do Ministério da Saúde, </w:t>
      </w:r>
      <w:r w:rsidR="00014A57">
        <w:rPr>
          <w:rFonts w:ascii="Arial" w:hAnsi="Arial" w:cs="Arial"/>
          <w:sz w:val="22"/>
          <w:szCs w:val="22"/>
        </w:rPr>
        <w:t>a</w:t>
      </w:r>
      <w:r w:rsidRPr="0090609F">
        <w:rPr>
          <w:rFonts w:ascii="Arial" w:hAnsi="Arial" w:cs="Arial"/>
          <w:sz w:val="22"/>
          <w:szCs w:val="22"/>
        </w:rPr>
        <w:t xml:space="preserve">os Valores de Intervenção definidos pela Cetesb por meio da Decisão de Diretoria nº 256/2016/E </w:t>
      </w:r>
      <w:proofErr w:type="spellStart"/>
      <w:r w:rsidRPr="0090609F">
        <w:rPr>
          <w:rFonts w:ascii="Arial" w:hAnsi="Arial" w:cs="Arial"/>
          <w:sz w:val="22"/>
          <w:szCs w:val="22"/>
        </w:rPr>
        <w:t>e</w:t>
      </w:r>
      <w:proofErr w:type="spellEnd"/>
      <w:r w:rsidRPr="0090609F">
        <w:rPr>
          <w:rFonts w:ascii="Arial" w:hAnsi="Arial" w:cs="Arial"/>
          <w:sz w:val="22"/>
          <w:szCs w:val="22"/>
        </w:rPr>
        <w:t xml:space="preserve"> não apresentar</w:t>
      </w:r>
      <w:r w:rsidR="00014A57">
        <w:rPr>
          <w:rFonts w:ascii="Arial" w:hAnsi="Arial" w:cs="Arial"/>
          <w:sz w:val="22"/>
          <w:szCs w:val="22"/>
        </w:rPr>
        <w:t>em</w:t>
      </w:r>
      <w:r w:rsidRPr="0090609F">
        <w:rPr>
          <w:rFonts w:ascii="Arial" w:hAnsi="Arial" w:cs="Arial"/>
          <w:sz w:val="22"/>
          <w:szCs w:val="22"/>
        </w:rPr>
        <w:t xml:space="preserve"> traços ou detecção acima dos limites de quantificação do método analítico utilizado para etenos clorados (EEC), etanos clorados (EAC) e seus produtos de degradação descritos a seguir: 1,1-Dicloroetano, 1,2-Dicloroetano, 1,1,1-Tricloroetano, Cloreto de </w:t>
      </w:r>
      <w:proofErr w:type="spellStart"/>
      <w:r w:rsidRPr="0090609F">
        <w:rPr>
          <w:rFonts w:ascii="Arial" w:hAnsi="Arial" w:cs="Arial"/>
          <w:sz w:val="22"/>
          <w:szCs w:val="22"/>
        </w:rPr>
        <w:t>vinila</w:t>
      </w:r>
      <w:proofErr w:type="spellEnd"/>
      <w:r w:rsidRPr="0090609F">
        <w:rPr>
          <w:rFonts w:ascii="Arial" w:hAnsi="Arial" w:cs="Arial"/>
          <w:sz w:val="22"/>
          <w:szCs w:val="22"/>
        </w:rPr>
        <w:t xml:space="preserve">, 1,1-Dicloroeteno, 1,2-Dicloroeteno – cis, 1,2-Dicloroeteno – trans, </w:t>
      </w:r>
      <w:proofErr w:type="spellStart"/>
      <w:r w:rsidRPr="0090609F">
        <w:rPr>
          <w:rFonts w:ascii="Arial" w:hAnsi="Arial" w:cs="Arial"/>
          <w:sz w:val="22"/>
          <w:szCs w:val="22"/>
        </w:rPr>
        <w:t>Tricloroeteno</w:t>
      </w:r>
      <w:proofErr w:type="spellEnd"/>
      <w:r w:rsidRPr="0090609F">
        <w:rPr>
          <w:rFonts w:ascii="Arial" w:hAnsi="Arial" w:cs="Arial"/>
          <w:sz w:val="22"/>
          <w:szCs w:val="22"/>
        </w:rPr>
        <w:t xml:space="preserve"> – TCE e </w:t>
      </w:r>
      <w:proofErr w:type="spellStart"/>
      <w:r w:rsidRPr="0090609F">
        <w:rPr>
          <w:rFonts w:ascii="Arial" w:hAnsi="Arial" w:cs="Arial"/>
          <w:sz w:val="22"/>
          <w:szCs w:val="22"/>
        </w:rPr>
        <w:t>Tetracloroeteno</w:t>
      </w:r>
      <w:proofErr w:type="spellEnd"/>
      <w:r w:rsidRPr="0090609F">
        <w:rPr>
          <w:rFonts w:ascii="Arial" w:hAnsi="Arial" w:cs="Arial"/>
          <w:sz w:val="22"/>
          <w:szCs w:val="22"/>
        </w:rPr>
        <w:t xml:space="preserve"> – PCE</w:t>
      </w:r>
      <w:r w:rsidR="00014A57">
        <w:rPr>
          <w:rFonts w:ascii="Arial" w:hAnsi="Arial" w:cs="Arial"/>
          <w:sz w:val="22"/>
          <w:szCs w:val="22"/>
        </w:rPr>
        <w:t>,</w:t>
      </w:r>
      <w:r w:rsidRPr="0090609F">
        <w:rPr>
          <w:rFonts w:ascii="Arial" w:hAnsi="Arial" w:cs="Arial"/>
          <w:sz w:val="22"/>
          <w:szCs w:val="22"/>
        </w:rPr>
        <w:t xml:space="preserve"> as águas do poço de abastecimento poderão ser utilizadas para qualquer tipo de uso.</w:t>
      </w:r>
    </w:p>
    <w:p w14:paraId="728F0993" w14:textId="77777777" w:rsidR="0090609F" w:rsidRPr="0090609F" w:rsidRDefault="0090609F" w:rsidP="00E3364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highlight w:val="cyan"/>
        </w:rPr>
      </w:pPr>
    </w:p>
    <w:p w14:paraId="746F36B9" w14:textId="77F9685B" w:rsid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1CC6">
        <w:rPr>
          <w:rFonts w:ascii="Arial" w:hAnsi="Arial" w:cs="Arial"/>
          <w:b/>
          <w:bCs/>
          <w:sz w:val="22"/>
          <w:szCs w:val="22"/>
        </w:rPr>
        <w:t xml:space="preserve">II </w:t>
      </w:r>
      <w:r w:rsidRPr="0090609F">
        <w:rPr>
          <w:rFonts w:ascii="Arial" w:hAnsi="Arial" w:cs="Arial"/>
          <w:sz w:val="22"/>
          <w:szCs w:val="22"/>
        </w:rPr>
        <w:t xml:space="preserve">– Se os resultados das análises físico-químicas e microbiológicas das águas </w:t>
      </w:r>
      <w:r w:rsidR="009D0C04">
        <w:rPr>
          <w:rFonts w:ascii="Arial" w:hAnsi="Arial" w:cs="Arial"/>
          <w:sz w:val="22"/>
          <w:szCs w:val="22"/>
        </w:rPr>
        <w:t>realizadas na forma do Inciso I</w:t>
      </w:r>
      <w:r w:rsidR="003905DC">
        <w:rPr>
          <w:rFonts w:ascii="Arial" w:hAnsi="Arial" w:cs="Arial"/>
          <w:sz w:val="22"/>
          <w:szCs w:val="22"/>
        </w:rPr>
        <w:t xml:space="preserve"> </w:t>
      </w:r>
      <w:r w:rsidR="003905DC" w:rsidRPr="003905DC">
        <w:rPr>
          <w:rFonts w:ascii="Arial" w:hAnsi="Arial" w:cs="Arial"/>
          <w:color w:val="FF0000"/>
          <w:sz w:val="22"/>
          <w:szCs w:val="22"/>
        </w:rPr>
        <w:t xml:space="preserve">deste </w:t>
      </w:r>
      <w:r w:rsidR="003905DC">
        <w:rPr>
          <w:rFonts w:ascii="Arial" w:hAnsi="Arial" w:cs="Arial"/>
          <w:color w:val="FF0000"/>
          <w:sz w:val="22"/>
          <w:szCs w:val="22"/>
        </w:rPr>
        <w:t>A</w:t>
      </w:r>
      <w:r w:rsidR="003905DC" w:rsidRPr="003905DC">
        <w:rPr>
          <w:rFonts w:ascii="Arial" w:hAnsi="Arial" w:cs="Arial"/>
          <w:color w:val="FF0000"/>
          <w:sz w:val="22"/>
          <w:szCs w:val="22"/>
        </w:rPr>
        <w:t>rtigo</w:t>
      </w:r>
      <w:r w:rsidR="003905DC">
        <w:rPr>
          <w:rFonts w:ascii="Arial" w:hAnsi="Arial" w:cs="Arial"/>
          <w:sz w:val="22"/>
          <w:szCs w:val="22"/>
        </w:rPr>
        <w:t xml:space="preserve"> </w:t>
      </w:r>
      <w:r w:rsidR="00043A22">
        <w:rPr>
          <w:rFonts w:ascii="Arial" w:hAnsi="Arial" w:cs="Arial"/>
          <w:sz w:val="22"/>
          <w:szCs w:val="22"/>
        </w:rPr>
        <w:t>apresentarem inconformidades</w:t>
      </w:r>
      <w:r w:rsidR="00F04A27">
        <w:rPr>
          <w:rFonts w:ascii="Arial" w:hAnsi="Arial" w:cs="Arial"/>
          <w:sz w:val="22"/>
          <w:szCs w:val="22"/>
        </w:rPr>
        <w:t xml:space="preserve"> (</w:t>
      </w:r>
      <w:r w:rsidRPr="0090609F">
        <w:rPr>
          <w:rFonts w:ascii="Arial" w:hAnsi="Arial" w:cs="Arial"/>
          <w:sz w:val="22"/>
          <w:szCs w:val="22"/>
        </w:rPr>
        <w:t>não atenderem aos padrões de potabilidade estabelecidos no Anexo XX da Portaria de Consolidação nº 05/2017, do Ministério da Saúde ou não atendam os Valores de Intervenção definidos pela Cetesb por meio da Decisão de Diretoria nº 256/2016/E ou apresentem traços ou detecção acima dos limites de quantificação do método analítico utilizado para etenos clorados (EEC), etanos clorados (EAC) e seus produtos de degradação</w:t>
      </w:r>
      <w:r w:rsidR="00F04A27">
        <w:rPr>
          <w:rFonts w:ascii="Arial" w:hAnsi="Arial" w:cs="Arial"/>
          <w:sz w:val="22"/>
          <w:szCs w:val="22"/>
        </w:rPr>
        <w:t>)</w:t>
      </w:r>
      <w:r w:rsidR="00144E9A">
        <w:rPr>
          <w:rFonts w:ascii="Arial" w:hAnsi="Arial" w:cs="Arial"/>
          <w:sz w:val="22"/>
          <w:szCs w:val="22"/>
        </w:rPr>
        <w:t>,</w:t>
      </w:r>
      <w:r w:rsidR="00073E4D">
        <w:rPr>
          <w:rFonts w:ascii="Arial" w:hAnsi="Arial" w:cs="Arial"/>
          <w:sz w:val="22"/>
          <w:szCs w:val="22"/>
        </w:rPr>
        <w:t xml:space="preserve"> </w:t>
      </w:r>
      <w:r w:rsidRPr="0090609F">
        <w:rPr>
          <w:rFonts w:ascii="Arial" w:hAnsi="Arial" w:cs="Arial"/>
          <w:sz w:val="22"/>
          <w:szCs w:val="22"/>
        </w:rPr>
        <w:t>a outorga poderá ser concedida desde que seja implementado tratamento da água que viabilize o uso pr</w:t>
      </w:r>
      <w:r w:rsidR="009D0C04">
        <w:rPr>
          <w:rFonts w:ascii="Arial" w:hAnsi="Arial" w:cs="Arial"/>
          <w:sz w:val="22"/>
          <w:szCs w:val="22"/>
        </w:rPr>
        <w:t>et</w:t>
      </w:r>
      <w:r w:rsidR="00A5581E">
        <w:rPr>
          <w:rFonts w:ascii="Arial" w:hAnsi="Arial" w:cs="Arial"/>
          <w:sz w:val="22"/>
          <w:szCs w:val="22"/>
        </w:rPr>
        <w:t>endido</w:t>
      </w:r>
      <w:r w:rsidRPr="0090609F">
        <w:rPr>
          <w:rFonts w:ascii="Arial" w:hAnsi="Arial" w:cs="Arial"/>
          <w:sz w:val="22"/>
          <w:szCs w:val="22"/>
        </w:rPr>
        <w:t xml:space="preserve">. Nessas situações, </w:t>
      </w:r>
      <w:r w:rsidR="00A5581E">
        <w:rPr>
          <w:rFonts w:ascii="Arial" w:hAnsi="Arial" w:cs="Arial"/>
          <w:sz w:val="22"/>
          <w:szCs w:val="22"/>
        </w:rPr>
        <w:t>o</w:t>
      </w:r>
      <w:r w:rsidRPr="0090609F">
        <w:rPr>
          <w:rFonts w:ascii="Arial" w:hAnsi="Arial" w:cs="Arial"/>
          <w:sz w:val="22"/>
          <w:szCs w:val="22"/>
        </w:rPr>
        <w:t xml:space="preserve"> tratamento das águas </w:t>
      </w:r>
      <w:r w:rsidR="00A5581E">
        <w:rPr>
          <w:rFonts w:ascii="Arial" w:hAnsi="Arial" w:cs="Arial"/>
          <w:sz w:val="22"/>
          <w:szCs w:val="22"/>
        </w:rPr>
        <w:t>proposto</w:t>
      </w:r>
      <w:r w:rsidR="00A5581E" w:rsidRPr="0090609F">
        <w:rPr>
          <w:rFonts w:ascii="Arial" w:hAnsi="Arial" w:cs="Arial"/>
          <w:sz w:val="22"/>
          <w:szCs w:val="22"/>
        </w:rPr>
        <w:t xml:space="preserve"> </w:t>
      </w:r>
      <w:r w:rsidRPr="0090609F">
        <w:rPr>
          <w:rFonts w:ascii="Arial" w:hAnsi="Arial" w:cs="Arial"/>
          <w:sz w:val="22"/>
          <w:szCs w:val="22"/>
        </w:rPr>
        <w:t xml:space="preserve">pelo responsável </w:t>
      </w:r>
      <w:r w:rsidR="004A0C0E">
        <w:rPr>
          <w:rFonts w:ascii="Arial" w:hAnsi="Arial" w:cs="Arial"/>
          <w:sz w:val="22"/>
          <w:szCs w:val="22"/>
        </w:rPr>
        <w:t>pelo</w:t>
      </w:r>
      <w:r w:rsidR="00A5581E" w:rsidRPr="0090609F">
        <w:rPr>
          <w:rFonts w:ascii="Arial" w:hAnsi="Arial" w:cs="Arial"/>
          <w:sz w:val="22"/>
          <w:szCs w:val="22"/>
        </w:rPr>
        <w:t xml:space="preserve"> </w:t>
      </w:r>
      <w:r w:rsidRPr="0090609F">
        <w:rPr>
          <w:rFonts w:ascii="Arial" w:hAnsi="Arial" w:cs="Arial"/>
          <w:sz w:val="22"/>
          <w:szCs w:val="22"/>
        </w:rPr>
        <w:t>poço de abastecimento deverá ser aprovad</w:t>
      </w:r>
      <w:r w:rsidR="003A611C">
        <w:rPr>
          <w:rFonts w:ascii="Arial" w:hAnsi="Arial" w:cs="Arial"/>
          <w:sz w:val="22"/>
          <w:szCs w:val="22"/>
        </w:rPr>
        <w:t>o</w:t>
      </w:r>
      <w:r w:rsidRPr="0090609F">
        <w:rPr>
          <w:rFonts w:ascii="Arial" w:hAnsi="Arial" w:cs="Arial"/>
          <w:sz w:val="22"/>
          <w:szCs w:val="22"/>
        </w:rPr>
        <w:t xml:space="preserve"> </w:t>
      </w:r>
      <w:r w:rsidR="00A5581E" w:rsidRPr="0090609F">
        <w:rPr>
          <w:rFonts w:ascii="Arial" w:hAnsi="Arial" w:cs="Arial"/>
          <w:sz w:val="22"/>
          <w:szCs w:val="22"/>
        </w:rPr>
        <w:t>por meio d</w:t>
      </w:r>
      <w:r w:rsidR="00A5581E">
        <w:rPr>
          <w:rFonts w:ascii="Arial" w:hAnsi="Arial" w:cs="Arial"/>
          <w:sz w:val="22"/>
          <w:szCs w:val="22"/>
        </w:rPr>
        <w:t>e</w:t>
      </w:r>
      <w:r w:rsidR="00A5581E" w:rsidRPr="0090609F">
        <w:rPr>
          <w:rFonts w:ascii="Arial" w:hAnsi="Arial" w:cs="Arial"/>
          <w:sz w:val="22"/>
          <w:szCs w:val="22"/>
        </w:rPr>
        <w:t xml:space="preserve"> parecer técnico </w:t>
      </w:r>
      <w:r w:rsidR="00A5581E">
        <w:rPr>
          <w:rFonts w:ascii="Arial" w:hAnsi="Arial" w:cs="Arial"/>
          <w:sz w:val="22"/>
          <w:szCs w:val="22"/>
        </w:rPr>
        <w:t>da</w:t>
      </w:r>
      <w:r w:rsidRPr="0090609F">
        <w:rPr>
          <w:rFonts w:ascii="Arial" w:hAnsi="Arial" w:cs="Arial"/>
          <w:sz w:val="22"/>
          <w:szCs w:val="22"/>
        </w:rPr>
        <w:t xml:space="preserve"> Cetesb</w:t>
      </w:r>
      <w:r w:rsidR="00B71E8A">
        <w:rPr>
          <w:rFonts w:ascii="Arial" w:hAnsi="Arial" w:cs="Arial"/>
          <w:sz w:val="22"/>
          <w:szCs w:val="22"/>
        </w:rPr>
        <w:t>,</w:t>
      </w:r>
      <w:r w:rsidRPr="0090609F">
        <w:rPr>
          <w:rFonts w:ascii="Arial" w:hAnsi="Arial" w:cs="Arial"/>
          <w:sz w:val="22"/>
          <w:szCs w:val="22"/>
        </w:rPr>
        <w:t xml:space="preserve"> </w:t>
      </w:r>
      <w:r w:rsidR="00A5581E">
        <w:rPr>
          <w:rFonts w:ascii="Arial" w:hAnsi="Arial" w:cs="Arial"/>
          <w:sz w:val="22"/>
          <w:szCs w:val="22"/>
        </w:rPr>
        <w:t xml:space="preserve">conforme </w:t>
      </w:r>
      <w:r w:rsidRPr="0090609F">
        <w:rPr>
          <w:rFonts w:ascii="Arial" w:hAnsi="Arial" w:cs="Arial"/>
          <w:sz w:val="22"/>
          <w:szCs w:val="22"/>
        </w:rPr>
        <w:t xml:space="preserve">previsto na </w:t>
      </w:r>
      <w:r w:rsidRPr="0090609F">
        <w:rPr>
          <w:rFonts w:ascii="Arial" w:hAnsi="Arial" w:cs="Arial"/>
          <w:bCs/>
          <w:sz w:val="22"/>
          <w:szCs w:val="22"/>
        </w:rPr>
        <w:t>Resolução Conjunta SMA/SERHS/SES nº 03/2006, que terá um ano de prazo de validade, após a data da sua emissão</w:t>
      </w:r>
      <w:r w:rsidRPr="0090609F">
        <w:rPr>
          <w:rFonts w:ascii="Arial" w:hAnsi="Arial" w:cs="Arial"/>
          <w:sz w:val="22"/>
          <w:szCs w:val="22"/>
        </w:rPr>
        <w:t xml:space="preserve">. Caso não seja viável o tratamento proposto, o poço de abastecimento poderá ser tamponado, desativado temporariamente ou utilizado como poço de monitoramento, conforme artigo </w:t>
      </w:r>
      <w:r w:rsidR="00C34718">
        <w:rPr>
          <w:rFonts w:ascii="Arial" w:hAnsi="Arial" w:cs="Arial"/>
          <w:sz w:val="22"/>
          <w:szCs w:val="22"/>
          <w:highlight w:val="green"/>
        </w:rPr>
        <w:t>7</w:t>
      </w:r>
      <w:r w:rsidRPr="0090609F">
        <w:rPr>
          <w:rFonts w:ascii="Arial" w:hAnsi="Arial" w:cs="Arial"/>
          <w:sz w:val="22"/>
          <w:szCs w:val="22"/>
          <w:highlight w:val="green"/>
        </w:rPr>
        <w:t>º</w:t>
      </w:r>
      <w:r w:rsidRPr="0090609F">
        <w:rPr>
          <w:rFonts w:ascii="Arial" w:hAnsi="Arial" w:cs="Arial"/>
          <w:sz w:val="22"/>
          <w:szCs w:val="22"/>
        </w:rPr>
        <w:t xml:space="preserve">. </w:t>
      </w:r>
    </w:p>
    <w:p w14:paraId="0E5D809A" w14:textId="77777777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9934DD1" w14:textId="6DF746FE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1CC6">
        <w:rPr>
          <w:rFonts w:ascii="Arial" w:hAnsi="Arial" w:cs="Arial"/>
          <w:b/>
          <w:bCs/>
          <w:sz w:val="22"/>
          <w:szCs w:val="22"/>
        </w:rPr>
        <w:t>III</w:t>
      </w:r>
      <w:r w:rsidRPr="0090609F">
        <w:rPr>
          <w:rFonts w:ascii="Arial" w:hAnsi="Arial" w:cs="Arial"/>
          <w:sz w:val="22"/>
          <w:szCs w:val="22"/>
        </w:rPr>
        <w:t xml:space="preserve"> - Se for constatada situação que evidencie infiltrações passíveis de contaminar o aquífero cristalino e não for possível corrigir os danos ou avarias, a partir de projeto de recuperação </w:t>
      </w:r>
      <w:r w:rsidR="0096207D">
        <w:rPr>
          <w:rFonts w:ascii="Arial" w:hAnsi="Arial" w:cs="Arial"/>
          <w:sz w:val="22"/>
          <w:szCs w:val="22"/>
        </w:rPr>
        <w:t xml:space="preserve">do poço de abastecimento </w:t>
      </w:r>
      <w:r w:rsidRPr="0090609F">
        <w:rPr>
          <w:rFonts w:ascii="Arial" w:hAnsi="Arial" w:cs="Arial"/>
          <w:sz w:val="22"/>
          <w:szCs w:val="22"/>
        </w:rPr>
        <w:t>apresentado pelo responsável legal e aprovado mediante parecer conjunto da CETESB e DAEE, o poço poderá ser lacrado ou tamponado;</w:t>
      </w:r>
    </w:p>
    <w:p w14:paraId="531D3972" w14:textId="77777777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4A8B64" w14:textId="72522E2A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0609F">
        <w:rPr>
          <w:rFonts w:ascii="Arial" w:hAnsi="Arial" w:cs="Arial"/>
          <w:b/>
          <w:sz w:val="22"/>
          <w:szCs w:val="22"/>
        </w:rPr>
        <w:t>Artigo 5º</w:t>
      </w:r>
      <w:r w:rsidRPr="0090609F">
        <w:rPr>
          <w:rFonts w:ascii="Arial" w:hAnsi="Arial" w:cs="Arial"/>
          <w:bCs/>
          <w:sz w:val="22"/>
          <w:szCs w:val="22"/>
        </w:rPr>
        <w:t xml:space="preserve"> </w:t>
      </w:r>
      <w:r w:rsidRPr="003A1C0D">
        <w:rPr>
          <w:rFonts w:ascii="Arial" w:hAnsi="Arial" w:cs="Arial"/>
          <w:bCs/>
          <w:sz w:val="22"/>
          <w:szCs w:val="22"/>
        </w:rPr>
        <w:t xml:space="preserve">- </w:t>
      </w:r>
      <w:r w:rsidR="0058787E" w:rsidRPr="003A1C0D">
        <w:rPr>
          <w:rFonts w:ascii="Arial" w:hAnsi="Arial" w:cs="Arial"/>
          <w:bCs/>
          <w:sz w:val="22"/>
          <w:szCs w:val="22"/>
        </w:rPr>
        <w:t xml:space="preserve">A frequência do monitoramento </w:t>
      </w:r>
      <w:r w:rsidR="006B25AC" w:rsidRPr="003A1C0D">
        <w:rPr>
          <w:rFonts w:ascii="Arial" w:hAnsi="Arial" w:cs="Arial"/>
          <w:bCs/>
          <w:sz w:val="22"/>
          <w:szCs w:val="22"/>
        </w:rPr>
        <w:t xml:space="preserve">descrita no </w:t>
      </w:r>
      <w:r w:rsidR="006B25AC" w:rsidRPr="003A1C0D">
        <w:rPr>
          <w:rFonts w:ascii="Arial" w:hAnsi="Arial" w:cs="Arial"/>
          <w:sz w:val="22"/>
          <w:szCs w:val="22"/>
        </w:rPr>
        <w:t xml:space="preserve">Inciso </w:t>
      </w:r>
      <w:r w:rsidR="006B25AC" w:rsidRPr="00383F2E">
        <w:rPr>
          <w:rFonts w:ascii="Arial" w:hAnsi="Arial" w:cs="Arial"/>
          <w:sz w:val="22"/>
          <w:szCs w:val="22"/>
        </w:rPr>
        <w:t>IV do artigo 3</w:t>
      </w:r>
      <w:r w:rsidR="006B25AC">
        <w:rPr>
          <w:rFonts w:ascii="Arial" w:hAnsi="Arial" w:cs="Arial"/>
          <w:sz w:val="22"/>
          <w:szCs w:val="22"/>
        </w:rPr>
        <w:t xml:space="preserve"> dever</w:t>
      </w:r>
      <w:r w:rsidR="0007734C">
        <w:rPr>
          <w:rFonts w:ascii="Arial" w:hAnsi="Arial" w:cs="Arial"/>
          <w:sz w:val="22"/>
          <w:szCs w:val="22"/>
        </w:rPr>
        <w:t xml:space="preserve">á ser realizada </w:t>
      </w:r>
      <w:r w:rsidR="0007734C">
        <w:rPr>
          <w:rFonts w:ascii="Arial" w:hAnsi="Arial" w:cs="Arial"/>
          <w:bCs/>
          <w:sz w:val="22"/>
          <w:szCs w:val="22"/>
        </w:rPr>
        <w:t>n</w:t>
      </w:r>
      <w:r w:rsidRPr="006B25AC">
        <w:rPr>
          <w:rFonts w:ascii="Arial" w:hAnsi="Arial" w:cs="Arial"/>
          <w:bCs/>
          <w:sz w:val="22"/>
          <w:szCs w:val="22"/>
        </w:rPr>
        <w:t>as</w:t>
      </w:r>
      <w:r w:rsidRPr="0090609F">
        <w:rPr>
          <w:rFonts w:ascii="Arial" w:hAnsi="Arial" w:cs="Arial"/>
          <w:bCs/>
          <w:sz w:val="22"/>
          <w:szCs w:val="22"/>
        </w:rPr>
        <w:t xml:space="preserve"> </w:t>
      </w:r>
      <w:r w:rsidR="0007734C">
        <w:rPr>
          <w:rFonts w:ascii="Arial" w:hAnsi="Arial" w:cs="Arial"/>
          <w:bCs/>
          <w:sz w:val="22"/>
          <w:szCs w:val="22"/>
        </w:rPr>
        <w:t xml:space="preserve">seguintes </w:t>
      </w:r>
      <w:r w:rsidRPr="0090609F">
        <w:rPr>
          <w:rFonts w:ascii="Arial" w:hAnsi="Arial" w:cs="Arial"/>
          <w:bCs/>
          <w:sz w:val="22"/>
          <w:szCs w:val="22"/>
        </w:rPr>
        <w:t>condições</w:t>
      </w:r>
      <w:r w:rsidR="0007734C">
        <w:rPr>
          <w:rFonts w:ascii="Arial" w:hAnsi="Arial" w:cs="Arial"/>
          <w:bCs/>
          <w:sz w:val="22"/>
          <w:szCs w:val="22"/>
        </w:rPr>
        <w:t>:</w:t>
      </w:r>
    </w:p>
    <w:p w14:paraId="34D2608F" w14:textId="77777777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8BDA639" w14:textId="3E0544B1" w:rsidR="0007734C" w:rsidRDefault="0007734C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1CC6">
        <w:rPr>
          <w:rFonts w:ascii="Arial" w:hAnsi="Arial" w:cs="Arial"/>
          <w:b/>
          <w:bCs/>
          <w:sz w:val="22"/>
          <w:szCs w:val="22"/>
        </w:rPr>
        <w:t>I</w:t>
      </w:r>
      <w:r w:rsidRPr="009060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FD031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 o</w:t>
      </w:r>
      <w:r w:rsidRPr="0090609F">
        <w:rPr>
          <w:rFonts w:ascii="Arial" w:hAnsi="Arial" w:cs="Arial"/>
          <w:sz w:val="22"/>
          <w:szCs w:val="22"/>
        </w:rPr>
        <w:t xml:space="preserve">s resultados das análises físico-químicas e microbiológicas das águas </w:t>
      </w:r>
      <w:r>
        <w:rPr>
          <w:rFonts w:ascii="Arial" w:hAnsi="Arial" w:cs="Arial"/>
          <w:sz w:val="22"/>
          <w:szCs w:val="22"/>
        </w:rPr>
        <w:t>apresentarem conformidade</w:t>
      </w:r>
      <w:r w:rsidR="007B15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segundo o Inciso I do artigo IV</w:t>
      </w:r>
      <w:r w:rsidR="007B15BF">
        <w:rPr>
          <w:rFonts w:ascii="Arial" w:hAnsi="Arial" w:cs="Arial"/>
          <w:sz w:val="22"/>
          <w:szCs w:val="22"/>
        </w:rPr>
        <w:t>,</w:t>
      </w:r>
      <w:r w:rsidR="00FD0313" w:rsidRPr="00FD0313">
        <w:rPr>
          <w:rFonts w:ascii="Arial" w:hAnsi="Arial" w:cs="Arial"/>
          <w:sz w:val="22"/>
          <w:szCs w:val="22"/>
        </w:rPr>
        <w:t xml:space="preserve"> </w:t>
      </w:r>
      <w:r w:rsidR="00FD0313">
        <w:rPr>
          <w:rFonts w:ascii="Arial" w:hAnsi="Arial" w:cs="Arial"/>
          <w:sz w:val="22"/>
          <w:szCs w:val="22"/>
        </w:rPr>
        <w:t>a frequência será semestral</w:t>
      </w:r>
      <w:r>
        <w:rPr>
          <w:rFonts w:ascii="Arial" w:hAnsi="Arial" w:cs="Arial"/>
          <w:sz w:val="22"/>
          <w:szCs w:val="22"/>
        </w:rPr>
        <w:t>;</w:t>
      </w:r>
    </w:p>
    <w:p w14:paraId="3C5BB1DC" w14:textId="77777777" w:rsidR="0007734C" w:rsidRDefault="0007734C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C321C1" w14:textId="4F5D2303" w:rsidR="0007734C" w:rsidRDefault="0007734C" w:rsidP="000773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1CC6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9060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90609F">
        <w:rPr>
          <w:rFonts w:ascii="Arial" w:hAnsi="Arial" w:cs="Arial"/>
          <w:sz w:val="22"/>
          <w:szCs w:val="22"/>
        </w:rPr>
        <w:t xml:space="preserve"> </w:t>
      </w:r>
      <w:r w:rsidR="00FD031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 o</w:t>
      </w:r>
      <w:r w:rsidRPr="0090609F">
        <w:rPr>
          <w:rFonts w:ascii="Arial" w:hAnsi="Arial" w:cs="Arial"/>
          <w:sz w:val="22"/>
          <w:szCs w:val="22"/>
        </w:rPr>
        <w:t xml:space="preserve">s resultados das análises físico-químicas e microbiológicas das águas </w:t>
      </w:r>
      <w:r w:rsidR="00FD0313">
        <w:rPr>
          <w:rFonts w:ascii="Arial" w:hAnsi="Arial" w:cs="Arial"/>
          <w:sz w:val="22"/>
          <w:szCs w:val="22"/>
        </w:rPr>
        <w:t>brutas ou tratadas</w:t>
      </w:r>
      <w:r w:rsidR="007B15BF">
        <w:rPr>
          <w:rFonts w:ascii="Arial" w:hAnsi="Arial" w:cs="Arial"/>
          <w:sz w:val="22"/>
          <w:szCs w:val="22"/>
        </w:rPr>
        <w:t>,</w:t>
      </w:r>
      <w:r w:rsidR="00FD0313">
        <w:rPr>
          <w:rFonts w:ascii="Arial" w:hAnsi="Arial" w:cs="Arial"/>
          <w:sz w:val="22"/>
          <w:szCs w:val="22"/>
        </w:rPr>
        <w:t xml:space="preserve"> não </w:t>
      </w:r>
      <w:r>
        <w:rPr>
          <w:rFonts w:ascii="Arial" w:hAnsi="Arial" w:cs="Arial"/>
          <w:sz w:val="22"/>
          <w:szCs w:val="22"/>
        </w:rPr>
        <w:t>apresentarem conformidade</w:t>
      </w:r>
      <w:r w:rsidR="00FD031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segundo o Inciso </w:t>
      </w:r>
      <w:r w:rsidR="00FD031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 do artigo IV</w:t>
      </w:r>
      <w:r w:rsidR="00FD0313">
        <w:rPr>
          <w:rFonts w:ascii="Arial" w:hAnsi="Arial" w:cs="Arial"/>
          <w:sz w:val="22"/>
          <w:szCs w:val="22"/>
        </w:rPr>
        <w:t xml:space="preserve">, </w:t>
      </w:r>
      <w:r w:rsidR="00FD0313" w:rsidRPr="0090609F">
        <w:rPr>
          <w:rFonts w:ascii="Arial" w:hAnsi="Arial" w:cs="Arial"/>
          <w:bCs/>
          <w:sz w:val="22"/>
          <w:szCs w:val="22"/>
        </w:rPr>
        <w:t xml:space="preserve">a frequência do monitoramento será proposta pelo responsável </w:t>
      </w:r>
      <w:r w:rsidR="00FD0313">
        <w:rPr>
          <w:rFonts w:ascii="Arial" w:hAnsi="Arial" w:cs="Arial"/>
          <w:bCs/>
          <w:sz w:val="22"/>
          <w:szCs w:val="22"/>
        </w:rPr>
        <w:t>legal</w:t>
      </w:r>
      <w:r w:rsidR="00FD0313" w:rsidRPr="0090609F">
        <w:rPr>
          <w:rFonts w:ascii="Arial" w:hAnsi="Arial" w:cs="Arial"/>
          <w:bCs/>
          <w:sz w:val="22"/>
          <w:szCs w:val="22"/>
        </w:rPr>
        <w:t xml:space="preserve"> e aprovada pela CETESB</w:t>
      </w:r>
      <w:r w:rsidR="00FD0313">
        <w:rPr>
          <w:rFonts w:ascii="Arial" w:hAnsi="Arial" w:cs="Arial"/>
          <w:bCs/>
          <w:sz w:val="22"/>
          <w:szCs w:val="22"/>
        </w:rPr>
        <w:t>,</w:t>
      </w:r>
      <w:r w:rsidR="00FD0313" w:rsidRPr="0090609F">
        <w:rPr>
          <w:rFonts w:ascii="Arial" w:hAnsi="Arial" w:cs="Arial"/>
          <w:bCs/>
          <w:sz w:val="22"/>
          <w:szCs w:val="22"/>
        </w:rPr>
        <w:t xml:space="preserve"> caso a caso</w:t>
      </w:r>
      <w:r w:rsidR="00FD0313">
        <w:rPr>
          <w:rFonts w:ascii="Arial" w:hAnsi="Arial" w:cs="Arial"/>
          <w:bCs/>
          <w:sz w:val="22"/>
          <w:szCs w:val="22"/>
        </w:rPr>
        <w:t>,</w:t>
      </w:r>
      <w:r w:rsidR="00FD0313" w:rsidRPr="0090609F">
        <w:rPr>
          <w:rFonts w:ascii="Arial" w:hAnsi="Arial" w:cs="Arial"/>
          <w:bCs/>
          <w:sz w:val="22"/>
          <w:szCs w:val="22"/>
        </w:rPr>
        <w:t xml:space="preserve"> </w:t>
      </w:r>
      <w:r w:rsidR="00B742E4">
        <w:rPr>
          <w:rFonts w:ascii="Arial" w:hAnsi="Arial" w:cs="Arial"/>
          <w:bCs/>
          <w:sz w:val="22"/>
          <w:szCs w:val="22"/>
        </w:rPr>
        <w:t>por meio de parecer técnico</w:t>
      </w:r>
      <w:r w:rsidR="00D9502E">
        <w:rPr>
          <w:rFonts w:ascii="Arial" w:hAnsi="Arial" w:cs="Arial"/>
          <w:bCs/>
          <w:sz w:val="22"/>
          <w:szCs w:val="22"/>
        </w:rPr>
        <w:t xml:space="preserve">, </w:t>
      </w:r>
      <w:r w:rsidR="00FD0313" w:rsidRPr="0090609F">
        <w:rPr>
          <w:rFonts w:ascii="Arial" w:hAnsi="Arial" w:cs="Arial"/>
          <w:bCs/>
          <w:sz w:val="22"/>
          <w:szCs w:val="22"/>
        </w:rPr>
        <w:t>em função do uso definido para a água</w:t>
      </w:r>
      <w:r w:rsidR="009E08D7">
        <w:rPr>
          <w:rFonts w:ascii="Arial" w:hAnsi="Arial" w:cs="Arial"/>
          <w:bCs/>
          <w:sz w:val="22"/>
          <w:szCs w:val="22"/>
        </w:rPr>
        <w:t>,</w:t>
      </w:r>
      <w:r w:rsidR="00FD0313" w:rsidRPr="00FD0313">
        <w:rPr>
          <w:rFonts w:ascii="Arial" w:hAnsi="Arial" w:cs="Arial"/>
          <w:bCs/>
          <w:sz w:val="22"/>
          <w:szCs w:val="22"/>
        </w:rPr>
        <w:t xml:space="preserve"> </w:t>
      </w:r>
      <w:r w:rsidR="00FD0313" w:rsidRPr="0090609F">
        <w:rPr>
          <w:rFonts w:ascii="Arial" w:hAnsi="Arial" w:cs="Arial"/>
          <w:bCs/>
          <w:sz w:val="22"/>
          <w:szCs w:val="22"/>
        </w:rPr>
        <w:t>que terá um ano de prazo de validade, após a data da sua emissão</w:t>
      </w:r>
      <w:r w:rsidR="00EE21F2">
        <w:rPr>
          <w:rFonts w:ascii="Arial" w:hAnsi="Arial" w:cs="Arial"/>
          <w:sz w:val="22"/>
          <w:szCs w:val="22"/>
        </w:rPr>
        <w:t>.</w:t>
      </w:r>
    </w:p>
    <w:p w14:paraId="12B003E5" w14:textId="77777777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5921B99" w14:textId="0F001056" w:rsidR="0090609F" w:rsidRPr="0090609F" w:rsidRDefault="00FD0313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609F">
        <w:rPr>
          <w:rFonts w:ascii="Arial" w:hAnsi="Arial" w:cs="Arial"/>
          <w:b/>
          <w:bCs/>
          <w:sz w:val="22"/>
          <w:szCs w:val="22"/>
        </w:rPr>
        <w:t>Parágrafo Único</w:t>
      </w:r>
      <w:r w:rsidRPr="0090609F">
        <w:rPr>
          <w:rFonts w:ascii="Arial" w:hAnsi="Arial" w:cs="Arial"/>
          <w:sz w:val="22"/>
          <w:szCs w:val="22"/>
        </w:rPr>
        <w:t xml:space="preserve"> - </w:t>
      </w:r>
      <w:r w:rsidR="0090609F" w:rsidRPr="0090609F">
        <w:rPr>
          <w:rFonts w:ascii="Arial" w:hAnsi="Arial" w:cs="Arial"/>
          <w:sz w:val="22"/>
          <w:szCs w:val="22"/>
        </w:rPr>
        <w:t>Quando o uso da água incluir consumo humano, contato dérmico ou inalação e que seja incorporada ao produto, a frequência do monitoramento deverá ser</w:t>
      </w:r>
      <w:r w:rsidR="007B15BF">
        <w:rPr>
          <w:rFonts w:ascii="Arial" w:hAnsi="Arial" w:cs="Arial"/>
          <w:sz w:val="22"/>
          <w:szCs w:val="22"/>
        </w:rPr>
        <w:t>,</w:t>
      </w:r>
      <w:r w:rsidR="0090609F" w:rsidRPr="0090609F">
        <w:rPr>
          <w:rFonts w:ascii="Arial" w:hAnsi="Arial" w:cs="Arial"/>
          <w:sz w:val="22"/>
          <w:szCs w:val="22"/>
        </w:rPr>
        <w:t xml:space="preserve"> no mínimo</w:t>
      </w:r>
      <w:r w:rsidR="007B15BF">
        <w:rPr>
          <w:rFonts w:ascii="Arial" w:hAnsi="Arial" w:cs="Arial"/>
          <w:sz w:val="22"/>
          <w:szCs w:val="22"/>
        </w:rPr>
        <w:t>,</w:t>
      </w:r>
      <w:r w:rsidR="0090609F" w:rsidRPr="0090609F">
        <w:rPr>
          <w:rFonts w:ascii="Arial" w:hAnsi="Arial" w:cs="Arial"/>
          <w:sz w:val="22"/>
          <w:szCs w:val="22"/>
        </w:rPr>
        <w:t xml:space="preserve"> semestral.</w:t>
      </w:r>
    </w:p>
    <w:p w14:paraId="41FDDAEF" w14:textId="77777777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268BE7" w14:textId="67708D72" w:rsidR="00493FE7" w:rsidRPr="0018726D" w:rsidRDefault="0090609F" w:rsidP="0018726D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90609F">
        <w:rPr>
          <w:rFonts w:ascii="Arial" w:hAnsi="Arial" w:cs="Arial"/>
          <w:b/>
          <w:sz w:val="22"/>
          <w:szCs w:val="22"/>
        </w:rPr>
        <w:t>Artigo 6º</w:t>
      </w:r>
      <w:r w:rsidRPr="0090609F">
        <w:rPr>
          <w:rFonts w:ascii="Arial" w:hAnsi="Arial" w:cs="Arial"/>
          <w:bCs/>
          <w:sz w:val="22"/>
          <w:szCs w:val="22"/>
        </w:rPr>
        <w:t xml:space="preserve"> </w:t>
      </w:r>
      <w:r w:rsidRPr="0063415F">
        <w:rPr>
          <w:rFonts w:ascii="Arial" w:hAnsi="Arial" w:cs="Arial"/>
          <w:bCs/>
          <w:sz w:val="22"/>
          <w:szCs w:val="22"/>
        </w:rPr>
        <w:t>-</w:t>
      </w:r>
      <w:r w:rsidR="0018726D">
        <w:rPr>
          <w:rFonts w:ascii="Arial" w:hAnsi="Arial" w:cs="Arial"/>
          <w:bCs/>
          <w:sz w:val="22"/>
          <w:szCs w:val="22"/>
        </w:rPr>
        <w:t xml:space="preserve"> </w:t>
      </w:r>
      <w:r w:rsidR="0018726D" w:rsidRPr="0018726D">
        <w:rPr>
          <w:rFonts w:ascii="Arial" w:hAnsi="Arial" w:cs="Arial"/>
          <w:bCs/>
          <w:color w:val="FF0000"/>
          <w:sz w:val="22"/>
          <w:szCs w:val="22"/>
        </w:rPr>
        <w:t>O</w:t>
      </w:r>
      <w:r w:rsidR="00C434E2" w:rsidRPr="0018726D">
        <w:rPr>
          <w:rFonts w:ascii="Arial" w:hAnsi="Arial" w:cs="Arial"/>
          <w:color w:val="FF0000"/>
          <w:sz w:val="22"/>
          <w:szCs w:val="22"/>
        </w:rPr>
        <w:t xml:space="preserve"> Banco de Dados da ARC de </w:t>
      </w:r>
      <w:proofErr w:type="spellStart"/>
      <w:r w:rsidR="00C434E2" w:rsidRPr="0018726D">
        <w:rPr>
          <w:rFonts w:ascii="Arial" w:hAnsi="Arial" w:cs="Arial"/>
          <w:color w:val="FF0000"/>
          <w:sz w:val="22"/>
          <w:szCs w:val="22"/>
        </w:rPr>
        <w:t>Jurubatuba</w:t>
      </w:r>
      <w:proofErr w:type="spellEnd"/>
      <w:r w:rsidR="00C434E2" w:rsidRPr="0018726D">
        <w:rPr>
          <w:rFonts w:ascii="Arial" w:hAnsi="Arial" w:cs="Arial"/>
          <w:color w:val="FF0000"/>
          <w:sz w:val="22"/>
          <w:szCs w:val="22"/>
        </w:rPr>
        <w:t xml:space="preserve"> </w:t>
      </w:r>
      <w:r w:rsidR="0018726D" w:rsidRPr="0018726D">
        <w:rPr>
          <w:rFonts w:ascii="Arial" w:hAnsi="Arial" w:cs="Arial"/>
          <w:color w:val="FF0000"/>
          <w:sz w:val="22"/>
          <w:szCs w:val="22"/>
        </w:rPr>
        <w:t xml:space="preserve">será administrado pela CETESB e será constituído por: </w:t>
      </w:r>
    </w:p>
    <w:p w14:paraId="74FA0D18" w14:textId="77777777" w:rsidR="00064F03" w:rsidRDefault="00064F03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C0552C" w14:textId="26D18B0C" w:rsidR="009C1B1F" w:rsidRDefault="000E52DA" w:rsidP="000E52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1CC6">
        <w:rPr>
          <w:rFonts w:ascii="Arial" w:hAnsi="Arial" w:cs="Arial"/>
          <w:b/>
          <w:bCs/>
          <w:sz w:val="22"/>
          <w:szCs w:val="22"/>
        </w:rPr>
        <w:t>I</w:t>
      </w:r>
      <w:r w:rsidRPr="009060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9C1B1F">
        <w:rPr>
          <w:rFonts w:ascii="Arial" w:hAnsi="Arial" w:cs="Arial"/>
          <w:sz w:val="22"/>
          <w:szCs w:val="22"/>
        </w:rPr>
        <w:t xml:space="preserve"> Relatórios e laudos sobre a situação e integridade física do poço</w:t>
      </w:r>
      <w:r w:rsidR="001F764E">
        <w:rPr>
          <w:rFonts w:ascii="Arial" w:hAnsi="Arial" w:cs="Arial"/>
          <w:sz w:val="22"/>
          <w:szCs w:val="22"/>
        </w:rPr>
        <w:t>,</w:t>
      </w:r>
      <w:r w:rsidR="009C1B1F">
        <w:rPr>
          <w:rFonts w:ascii="Arial" w:hAnsi="Arial" w:cs="Arial"/>
          <w:sz w:val="22"/>
          <w:szCs w:val="22"/>
        </w:rPr>
        <w:t xml:space="preserve"> conforme o Inciso II do artigo 3º;</w:t>
      </w:r>
    </w:p>
    <w:p w14:paraId="1B1A6EEB" w14:textId="601DEBA3" w:rsidR="00FA7D9C" w:rsidRDefault="00FA7D9C" w:rsidP="000E52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6E5A3E1" w14:textId="142DA11E" w:rsidR="00FA7D9C" w:rsidRDefault="00FA7D9C" w:rsidP="000E52D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- </w:t>
      </w:r>
      <w:r w:rsidR="009C1B1F">
        <w:rPr>
          <w:rFonts w:ascii="Arial" w:hAnsi="Arial" w:cs="Arial"/>
          <w:sz w:val="22"/>
          <w:szCs w:val="22"/>
        </w:rPr>
        <w:t>R</w:t>
      </w:r>
      <w:r w:rsidR="009C1B1F" w:rsidRPr="0090609F">
        <w:rPr>
          <w:rFonts w:ascii="Arial" w:hAnsi="Arial" w:cs="Arial"/>
          <w:bCs/>
          <w:sz w:val="22"/>
          <w:szCs w:val="22"/>
        </w:rPr>
        <w:t xml:space="preserve">elatórios de monitoramento da qualidade das águas brutas e tratadas </w:t>
      </w:r>
      <w:r w:rsidR="009C1B1F">
        <w:rPr>
          <w:rFonts w:ascii="Arial" w:hAnsi="Arial" w:cs="Arial"/>
          <w:bCs/>
          <w:sz w:val="22"/>
          <w:szCs w:val="22"/>
        </w:rPr>
        <w:t xml:space="preserve">realizados na forma do Inciso IV do artigo 3º e dos Incisos I e II do artigo 5º, enviados pelos </w:t>
      </w:r>
      <w:r w:rsidR="009C1B1F" w:rsidRPr="0090609F">
        <w:rPr>
          <w:rFonts w:ascii="Arial" w:hAnsi="Arial" w:cs="Arial"/>
          <w:bCs/>
          <w:sz w:val="22"/>
          <w:szCs w:val="22"/>
        </w:rPr>
        <w:t xml:space="preserve">responsáveis </w:t>
      </w:r>
      <w:r w:rsidR="009C1B1F">
        <w:rPr>
          <w:rFonts w:ascii="Arial" w:hAnsi="Arial" w:cs="Arial"/>
          <w:bCs/>
          <w:sz w:val="22"/>
          <w:szCs w:val="22"/>
        </w:rPr>
        <w:t>legais d</w:t>
      </w:r>
      <w:r w:rsidR="009C1B1F" w:rsidRPr="0090609F">
        <w:rPr>
          <w:rFonts w:ascii="Arial" w:hAnsi="Arial" w:cs="Arial"/>
          <w:bCs/>
          <w:sz w:val="22"/>
          <w:szCs w:val="22"/>
        </w:rPr>
        <w:t>os poços de abastecimento</w:t>
      </w:r>
      <w:r w:rsidR="009C1B1F">
        <w:rPr>
          <w:rFonts w:ascii="Arial" w:hAnsi="Arial" w:cs="Arial"/>
          <w:bCs/>
          <w:sz w:val="22"/>
          <w:szCs w:val="22"/>
        </w:rPr>
        <w:t>;</w:t>
      </w:r>
    </w:p>
    <w:p w14:paraId="358AC2DB" w14:textId="276225ED" w:rsidR="009C1B1F" w:rsidRDefault="009C1B1F" w:rsidP="000E52D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B55AAD1" w14:textId="71C4AE60" w:rsidR="009C1B1F" w:rsidRPr="00555926" w:rsidRDefault="009C1B1F" w:rsidP="000E52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45FC0">
        <w:rPr>
          <w:rFonts w:ascii="Arial" w:hAnsi="Arial" w:cs="Arial"/>
          <w:bCs/>
          <w:sz w:val="22"/>
          <w:szCs w:val="22"/>
        </w:rPr>
        <w:t xml:space="preserve">III - </w:t>
      </w:r>
      <w:r w:rsidR="00345FC0" w:rsidRPr="00555926">
        <w:rPr>
          <w:rFonts w:ascii="Arial" w:hAnsi="Arial" w:cs="Arial"/>
          <w:bCs/>
          <w:sz w:val="22"/>
          <w:szCs w:val="22"/>
        </w:rPr>
        <w:t>C</w:t>
      </w:r>
      <w:r w:rsidR="00345FC0" w:rsidRPr="00555926">
        <w:rPr>
          <w:rFonts w:ascii="Arial" w:eastAsiaTheme="minorHAnsi" w:hAnsi="Arial" w:cs="Arial"/>
          <w:sz w:val="22"/>
          <w:szCs w:val="22"/>
          <w:lang w:eastAsia="en-US"/>
        </w:rPr>
        <w:t>adastro de poços do DAEE com as informações recebidas dos usuários durante a vigência da deliberação;</w:t>
      </w:r>
    </w:p>
    <w:p w14:paraId="21627F28" w14:textId="5AB4D2C2" w:rsidR="00CD6699" w:rsidRPr="00555926" w:rsidRDefault="00CD6699" w:rsidP="000E52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6064347" w14:textId="76F42D46" w:rsidR="00CD6699" w:rsidRPr="00555926" w:rsidRDefault="00CD6699" w:rsidP="000E52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55926">
        <w:rPr>
          <w:rFonts w:ascii="Arial" w:eastAsiaTheme="minorHAnsi" w:hAnsi="Arial" w:cs="Arial"/>
          <w:sz w:val="22"/>
          <w:szCs w:val="22"/>
          <w:lang w:eastAsia="en-US"/>
        </w:rPr>
        <w:t>IV - I</w:t>
      </w:r>
      <w:r w:rsidRPr="00555926">
        <w:rPr>
          <w:rFonts w:ascii="Arial" w:hAnsi="Arial" w:cs="Arial"/>
          <w:sz w:val="22"/>
          <w:szCs w:val="22"/>
        </w:rPr>
        <w:t xml:space="preserve">nformações do gerenciamento das áreas contaminadas referentes à ARC de </w:t>
      </w:r>
      <w:proofErr w:type="spellStart"/>
      <w:r w:rsidRPr="00555926">
        <w:rPr>
          <w:rFonts w:ascii="Arial" w:hAnsi="Arial" w:cs="Arial"/>
          <w:sz w:val="22"/>
          <w:szCs w:val="22"/>
        </w:rPr>
        <w:t>Jurubatuba</w:t>
      </w:r>
      <w:proofErr w:type="spellEnd"/>
      <w:r w:rsidRPr="00555926">
        <w:rPr>
          <w:rFonts w:ascii="Arial" w:hAnsi="Arial" w:cs="Arial"/>
          <w:sz w:val="22"/>
          <w:szCs w:val="22"/>
        </w:rPr>
        <w:t>.</w:t>
      </w:r>
    </w:p>
    <w:p w14:paraId="10BC0D30" w14:textId="1952B6F1" w:rsidR="00345FC0" w:rsidRPr="00555926" w:rsidRDefault="00345FC0" w:rsidP="000E52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53CE25AC" w14:textId="77777777" w:rsidR="00345FC0" w:rsidRDefault="00345FC0" w:rsidP="000E52D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0609F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1</w:t>
      </w:r>
      <w:r w:rsidRPr="0090609F">
        <w:rPr>
          <w:rFonts w:ascii="Arial" w:hAnsi="Arial" w:cs="Arial"/>
          <w:bCs/>
          <w:sz w:val="22"/>
          <w:szCs w:val="22"/>
        </w:rPr>
        <w:t>º</w:t>
      </w:r>
      <w:r>
        <w:rPr>
          <w:rFonts w:ascii="Arial" w:hAnsi="Arial" w:cs="Arial"/>
          <w:bCs/>
          <w:sz w:val="22"/>
          <w:szCs w:val="22"/>
        </w:rPr>
        <w:t xml:space="preserve"> - </w:t>
      </w:r>
      <w:r w:rsidRPr="0090609F">
        <w:rPr>
          <w:rFonts w:ascii="Arial" w:hAnsi="Arial" w:cs="Arial"/>
          <w:sz w:val="22"/>
          <w:szCs w:val="22"/>
        </w:rPr>
        <w:t xml:space="preserve">O </w:t>
      </w:r>
      <w:r w:rsidRPr="0090609F">
        <w:rPr>
          <w:rFonts w:ascii="Arial" w:hAnsi="Arial" w:cs="Arial"/>
          <w:bCs/>
          <w:sz w:val="22"/>
          <w:szCs w:val="22"/>
        </w:rPr>
        <w:t xml:space="preserve">Banco de Dados da ARC </w:t>
      </w:r>
      <w:proofErr w:type="spellStart"/>
      <w:r w:rsidRPr="0090609F">
        <w:rPr>
          <w:rFonts w:ascii="Arial" w:hAnsi="Arial" w:cs="Arial"/>
          <w:bCs/>
          <w:sz w:val="22"/>
          <w:szCs w:val="22"/>
        </w:rPr>
        <w:t>Jurubatuba</w:t>
      </w:r>
      <w:proofErr w:type="spellEnd"/>
      <w:r w:rsidRPr="0090609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será </w:t>
      </w:r>
      <w:r w:rsidRPr="0090609F">
        <w:rPr>
          <w:rFonts w:ascii="Arial" w:hAnsi="Arial" w:cs="Arial"/>
          <w:bCs/>
          <w:sz w:val="22"/>
          <w:szCs w:val="22"/>
        </w:rPr>
        <w:t xml:space="preserve">alimentado pelas informações </w:t>
      </w:r>
      <w:r>
        <w:rPr>
          <w:rFonts w:ascii="Arial" w:hAnsi="Arial" w:cs="Arial"/>
          <w:bCs/>
          <w:sz w:val="22"/>
          <w:szCs w:val="22"/>
        </w:rPr>
        <w:t>provenientes d</w:t>
      </w:r>
      <w:r w:rsidRPr="0090609F">
        <w:rPr>
          <w:rFonts w:ascii="Arial" w:hAnsi="Arial" w:cs="Arial"/>
          <w:bCs/>
          <w:sz w:val="22"/>
          <w:szCs w:val="22"/>
        </w:rPr>
        <w:t xml:space="preserve">a aplicação desta Deliberação </w:t>
      </w:r>
      <w:r>
        <w:rPr>
          <w:rFonts w:ascii="Arial" w:hAnsi="Arial" w:cs="Arial"/>
          <w:bCs/>
          <w:sz w:val="22"/>
          <w:szCs w:val="22"/>
        </w:rPr>
        <w:t>do seguinte modo:</w:t>
      </w:r>
    </w:p>
    <w:p w14:paraId="51184044" w14:textId="77777777" w:rsidR="00345FC0" w:rsidRDefault="00345FC0" w:rsidP="000E52D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07264EC" w14:textId="1CE96435" w:rsidR="000F02B1" w:rsidRPr="00930870" w:rsidRDefault="000F02B1" w:rsidP="00345FC0">
      <w:pPr>
        <w:pStyle w:val="Pargrafoda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02B1">
        <w:rPr>
          <w:rFonts w:ascii="Arial" w:hAnsi="Arial" w:cs="Arial"/>
          <w:bCs/>
        </w:rPr>
        <w:t>Pelos órgãos gestores DAEE</w:t>
      </w:r>
      <w:r>
        <w:rPr>
          <w:rFonts w:ascii="Arial" w:hAnsi="Arial" w:cs="Arial"/>
          <w:bCs/>
        </w:rPr>
        <w:t xml:space="preserve"> e</w:t>
      </w:r>
      <w:r w:rsidRPr="000F02B1">
        <w:rPr>
          <w:rFonts w:ascii="Arial" w:hAnsi="Arial" w:cs="Arial"/>
          <w:bCs/>
        </w:rPr>
        <w:t xml:space="preserve"> CETESB</w:t>
      </w:r>
      <w:r w:rsidRPr="00930870">
        <w:rPr>
          <w:rFonts w:ascii="Arial" w:hAnsi="Arial" w:cs="Arial"/>
          <w:bCs/>
        </w:rPr>
        <w:t>;</w:t>
      </w:r>
    </w:p>
    <w:p w14:paraId="6C155F28" w14:textId="77777777" w:rsidR="003E0B97" w:rsidRPr="003F4059" w:rsidRDefault="003E0B97" w:rsidP="003E0B97">
      <w:pPr>
        <w:pStyle w:val="Pargrafoda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Pela Vigilância Estadual – CVS da Secretaria de Estado da Saúde;</w:t>
      </w:r>
    </w:p>
    <w:p w14:paraId="1541007D" w14:textId="638C459A" w:rsidR="00345FC0" w:rsidRPr="00CC7B8D" w:rsidRDefault="003E0B97" w:rsidP="00CC7B8D">
      <w:pPr>
        <w:pStyle w:val="Pargrafoda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4059">
        <w:rPr>
          <w:rFonts w:ascii="Arial" w:hAnsi="Arial" w:cs="Arial"/>
        </w:rPr>
        <w:t>Pela Vigilância Municipal – COVISA;</w:t>
      </w:r>
    </w:p>
    <w:p w14:paraId="3E91E723" w14:textId="78EB4546" w:rsidR="000E52DA" w:rsidRDefault="000F02B1" w:rsidP="000E52D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0609F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2</w:t>
      </w:r>
      <w:r w:rsidRPr="0090609F">
        <w:rPr>
          <w:rFonts w:ascii="Arial" w:hAnsi="Arial" w:cs="Arial"/>
          <w:bCs/>
          <w:sz w:val="22"/>
          <w:szCs w:val="22"/>
        </w:rPr>
        <w:t>º</w:t>
      </w:r>
      <w:r>
        <w:rPr>
          <w:rFonts w:ascii="Arial" w:hAnsi="Arial" w:cs="Arial"/>
          <w:bCs/>
          <w:sz w:val="22"/>
          <w:szCs w:val="22"/>
        </w:rPr>
        <w:t xml:space="preserve"> - Os r</w:t>
      </w:r>
      <w:r w:rsidRPr="005C5EAB">
        <w:rPr>
          <w:rFonts w:ascii="Arial" w:hAnsi="Arial" w:cs="Arial"/>
          <w:bCs/>
          <w:sz w:val="22"/>
          <w:szCs w:val="22"/>
        </w:rPr>
        <w:t xml:space="preserve">esponsáveis técnicos </w:t>
      </w:r>
      <w:r w:rsidR="00752592">
        <w:rPr>
          <w:rFonts w:ascii="Arial" w:hAnsi="Arial" w:cs="Arial"/>
          <w:bCs/>
          <w:sz w:val="22"/>
          <w:szCs w:val="22"/>
        </w:rPr>
        <w:t>d</w:t>
      </w:r>
      <w:r w:rsidRPr="005C5EAB">
        <w:rPr>
          <w:rFonts w:ascii="Arial" w:hAnsi="Arial" w:cs="Arial"/>
          <w:bCs/>
          <w:sz w:val="22"/>
          <w:szCs w:val="22"/>
        </w:rPr>
        <w:t xml:space="preserve">os poços de abastecimento de água </w:t>
      </w:r>
      <w:r>
        <w:rPr>
          <w:rFonts w:ascii="Arial" w:hAnsi="Arial" w:cs="Arial"/>
          <w:bCs/>
          <w:sz w:val="22"/>
          <w:szCs w:val="22"/>
        </w:rPr>
        <w:t>para consumo humano deverão</w:t>
      </w:r>
      <w:r w:rsidR="00752592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também</w:t>
      </w:r>
      <w:r w:rsidR="00752592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inserir os dados no </w:t>
      </w:r>
      <w:r w:rsidRPr="005C5EAB">
        <w:rPr>
          <w:rFonts w:ascii="Arial" w:hAnsi="Arial" w:cs="Arial"/>
          <w:bCs/>
          <w:sz w:val="22"/>
          <w:szCs w:val="22"/>
        </w:rPr>
        <w:t>Sistema de Informação da Qualidade da Água para Consumo Humano (SISAGUA)</w:t>
      </w:r>
      <w:r w:rsidR="00FE6686">
        <w:rPr>
          <w:rFonts w:ascii="Arial" w:hAnsi="Arial" w:cs="Arial"/>
          <w:bCs/>
          <w:sz w:val="22"/>
          <w:szCs w:val="22"/>
        </w:rPr>
        <w:t>,</w:t>
      </w:r>
      <w:r w:rsidR="009E08D7" w:rsidRPr="009E08D7">
        <w:rPr>
          <w:rFonts w:ascii="Arial" w:hAnsi="Arial" w:cs="Arial"/>
          <w:bCs/>
          <w:sz w:val="22"/>
          <w:szCs w:val="22"/>
        </w:rPr>
        <w:t xml:space="preserve"> </w:t>
      </w:r>
      <w:r w:rsidR="009E08D7" w:rsidRPr="0090609F">
        <w:rPr>
          <w:rFonts w:ascii="Arial" w:hAnsi="Arial" w:cs="Arial"/>
          <w:bCs/>
          <w:sz w:val="22"/>
          <w:szCs w:val="22"/>
        </w:rPr>
        <w:t>conforme Resolução SS-65 de 02/08/2016</w:t>
      </w:r>
      <w:r>
        <w:rPr>
          <w:rFonts w:ascii="Arial" w:hAnsi="Arial" w:cs="Arial"/>
          <w:bCs/>
          <w:sz w:val="22"/>
          <w:szCs w:val="22"/>
        </w:rPr>
        <w:t>;</w:t>
      </w:r>
    </w:p>
    <w:p w14:paraId="31AA7EE7" w14:textId="74D323C1" w:rsidR="000F02B1" w:rsidRDefault="000F02B1" w:rsidP="000E52D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33D0384" w14:textId="13B66765" w:rsidR="00903815" w:rsidRDefault="000F02B1" w:rsidP="000E52D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0609F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3</w:t>
      </w:r>
      <w:r w:rsidRPr="0090609F">
        <w:rPr>
          <w:rFonts w:ascii="Arial" w:hAnsi="Arial" w:cs="Arial"/>
          <w:bCs/>
          <w:sz w:val="22"/>
          <w:szCs w:val="22"/>
        </w:rPr>
        <w:t>º</w:t>
      </w:r>
      <w:r w:rsidR="00903815">
        <w:rPr>
          <w:rFonts w:ascii="Arial" w:hAnsi="Arial" w:cs="Arial"/>
          <w:bCs/>
          <w:sz w:val="22"/>
          <w:szCs w:val="22"/>
        </w:rPr>
        <w:t xml:space="preserve"> - </w:t>
      </w:r>
      <w:r w:rsidR="00903815" w:rsidRPr="0090609F">
        <w:rPr>
          <w:rFonts w:ascii="Arial" w:hAnsi="Arial" w:cs="Arial"/>
          <w:bCs/>
          <w:sz w:val="22"/>
          <w:szCs w:val="22"/>
        </w:rPr>
        <w:t>O resultado da primeira campanha de monitoramento da qualidade da água do poço de abastecimento novo</w:t>
      </w:r>
      <w:r w:rsidR="00903815">
        <w:rPr>
          <w:rFonts w:ascii="Arial" w:hAnsi="Arial" w:cs="Arial"/>
          <w:bCs/>
          <w:sz w:val="22"/>
          <w:szCs w:val="22"/>
        </w:rPr>
        <w:t>,</w:t>
      </w:r>
      <w:r w:rsidR="00903815" w:rsidRPr="0090609F">
        <w:rPr>
          <w:rFonts w:ascii="Arial" w:hAnsi="Arial" w:cs="Arial"/>
          <w:bCs/>
          <w:sz w:val="22"/>
          <w:szCs w:val="22"/>
        </w:rPr>
        <w:t xml:space="preserve"> a ser regularizado ou outorgado</w:t>
      </w:r>
      <w:r w:rsidR="007E1C7B">
        <w:rPr>
          <w:rFonts w:ascii="Arial" w:hAnsi="Arial" w:cs="Arial"/>
          <w:bCs/>
          <w:sz w:val="22"/>
          <w:szCs w:val="22"/>
        </w:rPr>
        <w:t>,</w:t>
      </w:r>
      <w:r w:rsidR="00903815" w:rsidRPr="0090609F">
        <w:rPr>
          <w:rFonts w:ascii="Arial" w:hAnsi="Arial" w:cs="Arial"/>
          <w:bCs/>
          <w:sz w:val="22"/>
          <w:szCs w:val="22"/>
        </w:rPr>
        <w:t xml:space="preserve"> deverá ser apresentad</w:t>
      </w:r>
      <w:r w:rsidR="00903815">
        <w:rPr>
          <w:rFonts w:ascii="Arial" w:hAnsi="Arial" w:cs="Arial"/>
          <w:bCs/>
          <w:sz w:val="22"/>
          <w:szCs w:val="22"/>
        </w:rPr>
        <w:t>o</w:t>
      </w:r>
      <w:r w:rsidR="00903815" w:rsidRPr="0090609F">
        <w:rPr>
          <w:rFonts w:ascii="Arial" w:hAnsi="Arial" w:cs="Arial"/>
          <w:bCs/>
          <w:sz w:val="22"/>
          <w:szCs w:val="22"/>
        </w:rPr>
        <w:t xml:space="preserve"> </w:t>
      </w:r>
      <w:r w:rsidR="00903815">
        <w:rPr>
          <w:rFonts w:ascii="Arial" w:hAnsi="Arial" w:cs="Arial"/>
          <w:bCs/>
          <w:sz w:val="22"/>
          <w:szCs w:val="22"/>
        </w:rPr>
        <w:t>nos prazos e condições estipulados pelo DAEE;</w:t>
      </w:r>
    </w:p>
    <w:p w14:paraId="32B2B04F" w14:textId="77777777" w:rsidR="00903815" w:rsidRDefault="00903815" w:rsidP="000E52D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C3F606A" w14:textId="60F623B3" w:rsidR="0090609F" w:rsidRDefault="00547712" w:rsidP="000E52D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4º</w:t>
      </w:r>
      <w:r w:rsidR="00373660">
        <w:rPr>
          <w:rFonts w:ascii="Arial" w:hAnsi="Arial" w:cs="Arial"/>
          <w:sz w:val="22"/>
          <w:szCs w:val="22"/>
        </w:rPr>
        <w:t xml:space="preserve"> - </w:t>
      </w:r>
      <w:r w:rsidR="0090609F" w:rsidRPr="0090609F">
        <w:rPr>
          <w:rFonts w:ascii="Arial" w:hAnsi="Arial" w:cs="Arial"/>
          <w:bCs/>
          <w:sz w:val="22"/>
          <w:szCs w:val="22"/>
        </w:rPr>
        <w:t>Após a publicação desta Deliberação, o DAEE deverá solicitar aos responsáveis técnicos pelos poços de abastecimento de água</w:t>
      </w:r>
      <w:r w:rsidR="00E36891">
        <w:rPr>
          <w:rFonts w:ascii="Arial" w:hAnsi="Arial" w:cs="Arial"/>
          <w:bCs/>
          <w:sz w:val="22"/>
          <w:szCs w:val="22"/>
        </w:rPr>
        <w:t>,</w:t>
      </w:r>
      <w:r w:rsidR="0090609F" w:rsidRPr="0090609F">
        <w:rPr>
          <w:rFonts w:ascii="Arial" w:hAnsi="Arial" w:cs="Arial"/>
          <w:bCs/>
          <w:sz w:val="22"/>
          <w:szCs w:val="22"/>
        </w:rPr>
        <w:t xml:space="preserve"> cadastrados na ARC de </w:t>
      </w:r>
      <w:proofErr w:type="spellStart"/>
      <w:r w:rsidR="0090609F" w:rsidRPr="0090609F">
        <w:rPr>
          <w:rFonts w:ascii="Arial" w:hAnsi="Arial" w:cs="Arial"/>
          <w:bCs/>
          <w:sz w:val="22"/>
          <w:szCs w:val="22"/>
        </w:rPr>
        <w:t>Jurubatuba</w:t>
      </w:r>
      <w:proofErr w:type="spellEnd"/>
      <w:r w:rsidR="0090609F" w:rsidRPr="0090609F">
        <w:rPr>
          <w:rFonts w:ascii="Arial" w:hAnsi="Arial" w:cs="Arial"/>
          <w:bCs/>
          <w:sz w:val="22"/>
          <w:szCs w:val="22"/>
        </w:rPr>
        <w:t xml:space="preserve"> e no Sistema de Informação da Qualidade da Água para Consumo Humano (SISAGUA) a realização da primeira campanha de monitoramento da qualidade das águas subterrâneas do respectivo poço, com prazo de 60 dias para a apresentação à Cetesb do relatório de monitoramento contendo os resultados da primeira campanha, que orientarão, inicialmente, a aplicação desta Deliberação.</w:t>
      </w:r>
    </w:p>
    <w:p w14:paraId="5E9CCA72" w14:textId="77777777" w:rsidR="00C434E2" w:rsidRPr="005F0F56" w:rsidRDefault="00C434E2" w:rsidP="00C434E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highlight w:val="cyan"/>
          <w:lang w:eastAsia="en-US"/>
        </w:rPr>
      </w:pPr>
    </w:p>
    <w:p w14:paraId="092A978D" w14:textId="6DA49025" w:rsidR="00903815" w:rsidRPr="0090609F" w:rsidRDefault="00903815" w:rsidP="0090381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0609F">
        <w:rPr>
          <w:rFonts w:ascii="Arial" w:hAnsi="Arial" w:cs="Arial"/>
          <w:b/>
          <w:bCs/>
          <w:sz w:val="22"/>
          <w:szCs w:val="22"/>
        </w:rPr>
        <w:t xml:space="preserve">Artigo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90609F">
        <w:rPr>
          <w:rFonts w:ascii="Arial" w:hAnsi="Arial" w:cs="Arial"/>
          <w:b/>
          <w:bCs/>
          <w:sz w:val="22"/>
          <w:szCs w:val="22"/>
        </w:rPr>
        <w:t>º</w:t>
      </w:r>
      <w:r w:rsidRPr="0090609F">
        <w:rPr>
          <w:rFonts w:ascii="Arial" w:hAnsi="Arial" w:cs="Arial"/>
          <w:sz w:val="22"/>
          <w:szCs w:val="22"/>
        </w:rPr>
        <w:t xml:space="preserve"> - O </w:t>
      </w:r>
      <w:r w:rsidRPr="0090609F">
        <w:rPr>
          <w:rFonts w:ascii="Arial" w:hAnsi="Arial" w:cs="Arial"/>
          <w:bCs/>
          <w:sz w:val="22"/>
          <w:szCs w:val="22"/>
        </w:rPr>
        <w:t xml:space="preserve">Banco de Dados da ARC </w:t>
      </w:r>
      <w:proofErr w:type="spellStart"/>
      <w:r w:rsidRPr="0090609F">
        <w:rPr>
          <w:rFonts w:ascii="Arial" w:hAnsi="Arial" w:cs="Arial"/>
          <w:bCs/>
          <w:sz w:val="22"/>
          <w:szCs w:val="22"/>
        </w:rPr>
        <w:t>Jurubatuba</w:t>
      </w:r>
      <w:proofErr w:type="spellEnd"/>
      <w:r w:rsidRPr="0090609F">
        <w:rPr>
          <w:rFonts w:ascii="Arial" w:hAnsi="Arial" w:cs="Arial"/>
          <w:bCs/>
          <w:sz w:val="22"/>
          <w:szCs w:val="22"/>
        </w:rPr>
        <w:t xml:space="preserve"> </w:t>
      </w:r>
      <w:r w:rsidR="00930870">
        <w:rPr>
          <w:rFonts w:ascii="Arial" w:hAnsi="Arial" w:cs="Arial"/>
          <w:bCs/>
          <w:sz w:val="22"/>
          <w:szCs w:val="22"/>
        </w:rPr>
        <w:t xml:space="preserve">representa a plataforma principal para a gestão e controle das águas subterrâneas e </w:t>
      </w:r>
      <w:r w:rsidRPr="0090609F">
        <w:rPr>
          <w:rFonts w:ascii="Arial" w:hAnsi="Arial" w:cs="Arial"/>
          <w:bCs/>
          <w:sz w:val="22"/>
          <w:szCs w:val="22"/>
        </w:rPr>
        <w:t xml:space="preserve">para </w:t>
      </w:r>
      <w:r w:rsidR="00930870">
        <w:rPr>
          <w:rFonts w:ascii="Arial" w:hAnsi="Arial" w:cs="Arial"/>
          <w:bCs/>
          <w:sz w:val="22"/>
          <w:szCs w:val="22"/>
        </w:rPr>
        <w:t xml:space="preserve">a </w:t>
      </w:r>
      <w:r w:rsidRPr="0090609F">
        <w:rPr>
          <w:rFonts w:ascii="Arial" w:hAnsi="Arial" w:cs="Arial"/>
          <w:bCs/>
          <w:sz w:val="22"/>
          <w:szCs w:val="22"/>
        </w:rPr>
        <w:t>tomada de decisão conjunt</w:t>
      </w:r>
      <w:r w:rsidR="00EB0B0D">
        <w:rPr>
          <w:rFonts w:ascii="Arial" w:hAnsi="Arial" w:cs="Arial"/>
          <w:bCs/>
          <w:sz w:val="22"/>
          <w:szCs w:val="22"/>
        </w:rPr>
        <w:t>a</w:t>
      </w:r>
      <w:r w:rsidR="009B1F67" w:rsidRPr="009B1F67">
        <w:rPr>
          <w:rFonts w:ascii="Arial" w:hAnsi="Arial" w:cs="Arial"/>
          <w:sz w:val="22"/>
          <w:szCs w:val="22"/>
        </w:rPr>
        <w:t xml:space="preserve"> </w:t>
      </w:r>
      <w:r w:rsidR="009B1F67" w:rsidRPr="0090609F">
        <w:rPr>
          <w:rFonts w:ascii="Arial" w:hAnsi="Arial" w:cs="Arial"/>
          <w:sz w:val="22"/>
          <w:szCs w:val="22"/>
        </w:rPr>
        <w:t xml:space="preserve">dos órgãos gestores </w:t>
      </w:r>
      <w:r w:rsidR="009B1F67">
        <w:rPr>
          <w:rFonts w:ascii="Arial" w:hAnsi="Arial" w:cs="Arial"/>
          <w:sz w:val="22"/>
          <w:szCs w:val="22"/>
        </w:rPr>
        <w:t>DAEE, CETESB, CVS/</w:t>
      </w:r>
      <w:r w:rsidR="009B1F67" w:rsidRPr="009B1F67">
        <w:rPr>
          <w:rFonts w:ascii="Arial" w:hAnsi="Arial" w:cs="Arial"/>
          <w:sz w:val="22"/>
          <w:szCs w:val="22"/>
        </w:rPr>
        <w:t xml:space="preserve"> </w:t>
      </w:r>
      <w:r w:rsidR="009B1F67">
        <w:rPr>
          <w:rFonts w:ascii="Arial" w:hAnsi="Arial" w:cs="Arial"/>
          <w:sz w:val="22"/>
          <w:szCs w:val="22"/>
        </w:rPr>
        <w:t>SS e COVISA-Municipal</w:t>
      </w:r>
      <w:r w:rsidR="00930870">
        <w:rPr>
          <w:rFonts w:ascii="Arial" w:hAnsi="Arial" w:cs="Arial"/>
          <w:bCs/>
          <w:sz w:val="22"/>
          <w:szCs w:val="22"/>
        </w:rPr>
        <w:t>, em especial para:</w:t>
      </w:r>
    </w:p>
    <w:p w14:paraId="5A297D20" w14:textId="77777777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26DE887" w14:textId="2B540289" w:rsidR="0090609F" w:rsidRPr="0090609F" w:rsidRDefault="00930870" w:rsidP="00E3364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90609F" w:rsidRPr="0090609F">
        <w:rPr>
          <w:rFonts w:ascii="Arial" w:hAnsi="Arial" w:cs="Arial"/>
          <w:bCs/>
          <w:sz w:val="22"/>
          <w:szCs w:val="22"/>
        </w:rPr>
        <w:t xml:space="preserve"> - Caso constatadas as situações descritas no inciso </w:t>
      </w:r>
      <w:r w:rsidR="0090609F" w:rsidRPr="00E33649">
        <w:rPr>
          <w:rFonts w:ascii="Arial" w:hAnsi="Arial" w:cs="Arial"/>
          <w:bCs/>
          <w:sz w:val="22"/>
          <w:szCs w:val="22"/>
        </w:rPr>
        <w:t>II</w:t>
      </w:r>
      <w:r w:rsidR="0090609F" w:rsidRPr="0090609F">
        <w:rPr>
          <w:rFonts w:ascii="Arial" w:hAnsi="Arial" w:cs="Arial"/>
          <w:bCs/>
          <w:sz w:val="22"/>
          <w:szCs w:val="22"/>
        </w:rPr>
        <w:t xml:space="preserve"> do artigo </w:t>
      </w:r>
      <w:r w:rsidR="0090609F" w:rsidRPr="00E33649">
        <w:rPr>
          <w:rFonts w:ascii="Arial" w:hAnsi="Arial" w:cs="Arial"/>
          <w:bCs/>
          <w:sz w:val="22"/>
          <w:szCs w:val="22"/>
        </w:rPr>
        <w:t>4</w:t>
      </w:r>
      <w:r w:rsidR="0090609F" w:rsidRPr="0090609F">
        <w:rPr>
          <w:rFonts w:ascii="Arial" w:hAnsi="Arial" w:cs="Arial"/>
          <w:bCs/>
          <w:sz w:val="22"/>
          <w:szCs w:val="22"/>
        </w:rPr>
        <w:t xml:space="preserve">º </w:t>
      </w:r>
      <w:r w:rsidR="0090609F" w:rsidRPr="00E33649">
        <w:rPr>
          <w:rFonts w:ascii="Arial" w:hAnsi="Arial" w:cs="Arial"/>
          <w:bCs/>
          <w:sz w:val="22"/>
          <w:szCs w:val="22"/>
        </w:rPr>
        <w:t>e/ou</w:t>
      </w:r>
      <w:r w:rsidR="0090609F" w:rsidRPr="0090609F">
        <w:rPr>
          <w:rFonts w:ascii="Arial" w:hAnsi="Arial" w:cs="Arial"/>
          <w:bCs/>
          <w:sz w:val="22"/>
          <w:szCs w:val="22"/>
        </w:rPr>
        <w:t xml:space="preserve"> durante o monitoramento da qualidade da água dos poços de abastecimento, a C</w:t>
      </w:r>
      <w:r w:rsidR="007E1C7B">
        <w:rPr>
          <w:rFonts w:ascii="Arial" w:hAnsi="Arial" w:cs="Arial"/>
          <w:bCs/>
          <w:sz w:val="22"/>
          <w:szCs w:val="22"/>
        </w:rPr>
        <w:t>ETESB</w:t>
      </w:r>
      <w:r w:rsidR="0090609F" w:rsidRPr="0090609F">
        <w:rPr>
          <w:rFonts w:ascii="Arial" w:hAnsi="Arial" w:cs="Arial"/>
          <w:bCs/>
          <w:sz w:val="22"/>
          <w:szCs w:val="22"/>
        </w:rPr>
        <w:t xml:space="preserve"> utilizará as informações obtidas para identificação das áreas contaminadas ou das fontes causadoras da contaminação das águas subterrâneas.</w:t>
      </w:r>
    </w:p>
    <w:p w14:paraId="0D7E4908" w14:textId="77777777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0C45E0C" w14:textId="6D7CBEF4" w:rsidR="0090609F" w:rsidRPr="0090609F" w:rsidRDefault="00930870" w:rsidP="00E3364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II</w:t>
      </w:r>
      <w:r w:rsidR="0090609F" w:rsidRPr="0090609F">
        <w:rPr>
          <w:rFonts w:ascii="Arial" w:hAnsi="Arial" w:cs="Arial"/>
          <w:bCs/>
          <w:sz w:val="22"/>
          <w:szCs w:val="22"/>
        </w:rPr>
        <w:t xml:space="preserve"> - Caso constatadas as situações descritas no inciso </w:t>
      </w:r>
      <w:r w:rsidR="0090609F" w:rsidRPr="00E33649">
        <w:rPr>
          <w:rFonts w:ascii="Arial" w:hAnsi="Arial" w:cs="Arial"/>
          <w:bCs/>
          <w:sz w:val="22"/>
          <w:szCs w:val="22"/>
        </w:rPr>
        <w:t>II</w:t>
      </w:r>
      <w:r w:rsidR="0090609F" w:rsidRPr="0090609F">
        <w:rPr>
          <w:rFonts w:ascii="Arial" w:hAnsi="Arial" w:cs="Arial"/>
          <w:bCs/>
          <w:sz w:val="22"/>
          <w:szCs w:val="22"/>
        </w:rPr>
        <w:t xml:space="preserve"> do artigo </w:t>
      </w:r>
      <w:r w:rsidR="0090609F" w:rsidRPr="00E33649">
        <w:rPr>
          <w:rFonts w:ascii="Arial" w:hAnsi="Arial" w:cs="Arial"/>
          <w:bCs/>
          <w:sz w:val="22"/>
          <w:szCs w:val="22"/>
        </w:rPr>
        <w:t>4</w:t>
      </w:r>
      <w:r w:rsidR="0090609F" w:rsidRPr="0090609F">
        <w:rPr>
          <w:rFonts w:ascii="Arial" w:hAnsi="Arial" w:cs="Arial"/>
          <w:bCs/>
          <w:sz w:val="22"/>
          <w:szCs w:val="22"/>
        </w:rPr>
        <w:t xml:space="preserve">º </w:t>
      </w:r>
      <w:r w:rsidR="0090609F" w:rsidRPr="00E33649">
        <w:rPr>
          <w:rFonts w:ascii="Arial" w:hAnsi="Arial" w:cs="Arial"/>
          <w:bCs/>
          <w:sz w:val="22"/>
          <w:szCs w:val="22"/>
        </w:rPr>
        <w:t>e/ou</w:t>
      </w:r>
      <w:r w:rsidR="0090609F" w:rsidRPr="0090609F">
        <w:rPr>
          <w:rFonts w:ascii="Arial" w:hAnsi="Arial" w:cs="Arial"/>
          <w:bCs/>
          <w:sz w:val="22"/>
          <w:szCs w:val="22"/>
        </w:rPr>
        <w:t xml:space="preserve"> durante o monitoramento da qualidade da água dos poços de abastecimento, a C</w:t>
      </w:r>
      <w:r w:rsidR="009E7869">
        <w:rPr>
          <w:rFonts w:ascii="Arial" w:hAnsi="Arial" w:cs="Arial"/>
          <w:bCs/>
          <w:sz w:val="22"/>
          <w:szCs w:val="22"/>
        </w:rPr>
        <w:t>E</w:t>
      </w:r>
      <w:r w:rsidR="009B067B">
        <w:rPr>
          <w:rFonts w:ascii="Arial" w:hAnsi="Arial" w:cs="Arial"/>
          <w:bCs/>
          <w:sz w:val="22"/>
          <w:szCs w:val="22"/>
        </w:rPr>
        <w:t>T</w:t>
      </w:r>
      <w:r w:rsidR="009E7869">
        <w:rPr>
          <w:rFonts w:ascii="Arial" w:hAnsi="Arial" w:cs="Arial"/>
          <w:bCs/>
          <w:sz w:val="22"/>
          <w:szCs w:val="22"/>
        </w:rPr>
        <w:t>ESB</w:t>
      </w:r>
      <w:r w:rsidR="0090609F" w:rsidRPr="0090609F">
        <w:rPr>
          <w:rFonts w:ascii="Arial" w:hAnsi="Arial" w:cs="Arial"/>
          <w:bCs/>
          <w:sz w:val="22"/>
          <w:szCs w:val="22"/>
        </w:rPr>
        <w:t xml:space="preserve"> informará o D</w:t>
      </w:r>
      <w:r w:rsidR="0090609F" w:rsidRPr="00E33649">
        <w:rPr>
          <w:rFonts w:ascii="Arial" w:hAnsi="Arial" w:cs="Arial"/>
          <w:bCs/>
          <w:sz w:val="22"/>
          <w:szCs w:val="22"/>
        </w:rPr>
        <w:t>AEE</w:t>
      </w:r>
      <w:r w:rsidR="0090609F" w:rsidRPr="0090609F">
        <w:rPr>
          <w:rFonts w:ascii="Arial" w:hAnsi="Arial" w:cs="Arial"/>
          <w:bCs/>
          <w:sz w:val="22"/>
          <w:szCs w:val="22"/>
        </w:rPr>
        <w:t xml:space="preserve"> e Vigilâncias Municipal e Estadual via Banco de Dados da ARC </w:t>
      </w:r>
      <w:proofErr w:type="spellStart"/>
      <w:r w:rsidR="0090609F" w:rsidRPr="0090609F">
        <w:rPr>
          <w:rFonts w:ascii="Arial" w:hAnsi="Arial" w:cs="Arial"/>
          <w:bCs/>
          <w:sz w:val="22"/>
          <w:szCs w:val="22"/>
        </w:rPr>
        <w:t>Jurubatuba</w:t>
      </w:r>
      <w:proofErr w:type="spellEnd"/>
      <w:r w:rsidR="0090609F" w:rsidRPr="0090609F">
        <w:rPr>
          <w:rFonts w:ascii="Arial" w:hAnsi="Arial" w:cs="Arial"/>
          <w:bCs/>
          <w:sz w:val="22"/>
          <w:szCs w:val="22"/>
        </w:rPr>
        <w:t xml:space="preserve"> para as ações cabíveis no âmbito das suas atribuições</w:t>
      </w:r>
      <w:r>
        <w:rPr>
          <w:rFonts w:ascii="Arial" w:hAnsi="Arial" w:cs="Arial"/>
          <w:bCs/>
          <w:sz w:val="22"/>
          <w:szCs w:val="22"/>
        </w:rPr>
        <w:t>.</w:t>
      </w:r>
    </w:p>
    <w:p w14:paraId="4858B74B" w14:textId="77777777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E72A755" w14:textId="27EBAC34" w:rsidR="009B1F67" w:rsidRPr="0090609F" w:rsidRDefault="009B1F67" w:rsidP="009B1F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III </w:t>
      </w:r>
      <w:r w:rsidR="00CD6699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D6699">
        <w:rPr>
          <w:rFonts w:ascii="Arial" w:hAnsi="Arial" w:cs="Arial"/>
          <w:bCs/>
          <w:sz w:val="22"/>
          <w:szCs w:val="22"/>
        </w:rPr>
        <w:t>Em função das ações de fiscalização</w:t>
      </w:r>
      <w:r w:rsidR="00FD484F">
        <w:rPr>
          <w:rFonts w:ascii="Arial" w:hAnsi="Arial" w:cs="Arial"/>
          <w:bCs/>
          <w:sz w:val="22"/>
          <w:szCs w:val="22"/>
        </w:rPr>
        <w:t xml:space="preserve"> e com base nos dados e nas informações do </w:t>
      </w:r>
      <w:r w:rsidR="00FD484F" w:rsidRPr="0090609F">
        <w:rPr>
          <w:rFonts w:ascii="Arial" w:hAnsi="Arial" w:cs="Arial"/>
          <w:bCs/>
          <w:sz w:val="22"/>
          <w:szCs w:val="22"/>
        </w:rPr>
        <w:t xml:space="preserve">Banco de Dados da ARC </w:t>
      </w:r>
      <w:proofErr w:type="spellStart"/>
      <w:r w:rsidR="00FD484F" w:rsidRPr="0090609F">
        <w:rPr>
          <w:rFonts w:ascii="Arial" w:hAnsi="Arial" w:cs="Arial"/>
          <w:bCs/>
          <w:sz w:val="22"/>
          <w:szCs w:val="22"/>
        </w:rPr>
        <w:t>Jurubatuba</w:t>
      </w:r>
      <w:proofErr w:type="spellEnd"/>
      <w:r w:rsidR="00FD484F">
        <w:rPr>
          <w:rFonts w:ascii="Arial" w:hAnsi="Arial" w:cs="Arial"/>
          <w:bCs/>
          <w:sz w:val="22"/>
          <w:szCs w:val="22"/>
        </w:rPr>
        <w:t>, a</w:t>
      </w:r>
      <w:r w:rsidRPr="0090609F">
        <w:rPr>
          <w:rFonts w:ascii="Arial" w:hAnsi="Arial" w:cs="Arial"/>
          <w:bCs/>
          <w:sz w:val="22"/>
          <w:szCs w:val="22"/>
        </w:rPr>
        <w:t>s decisões</w:t>
      </w:r>
      <w:r w:rsidRPr="0090609F">
        <w:rPr>
          <w:rFonts w:ascii="Arial" w:hAnsi="Arial" w:cs="Arial"/>
          <w:sz w:val="22"/>
          <w:szCs w:val="22"/>
        </w:rPr>
        <w:t xml:space="preserve"> possíveis </w:t>
      </w:r>
      <w:r w:rsidR="00FD484F">
        <w:rPr>
          <w:rFonts w:ascii="Arial" w:hAnsi="Arial" w:cs="Arial"/>
          <w:sz w:val="22"/>
          <w:szCs w:val="22"/>
        </w:rPr>
        <w:t xml:space="preserve">dirigidas aos poços de abastecimento </w:t>
      </w:r>
      <w:r w:rsidRPr="0090609F">
        <w:rPr>
          <w:rFonts w:ascii="Arial" w:hAnsi="Arial" w:cs="Arial"/>
          <w:sz w:val="22"/>
          <w:szCs w:val="22"/>
        </w:rPr>
        <w:t>são as seguintes:</w:t>
      </w:r>
    </w:p>
    <w:p w14:paraId="2F8A3428" w14:textId="77777777" w:rsidR="009B1F67" w:rsidRPr="0090609F" w:rsidRDefault="009B1F67" w:rsidP="009B1F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FFB8EC" w14:textId="3BD50F6A" w:rsidR="009B1F67" w:rsidRPr="00D06578" w:rsidRDefault="009B1F67" w:rsidP="00D0657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4308">
        <w:rPr>
          <w:rFonts w:ascii="Arial" w:hAnsi="Arial" w:cs="Arial"/>
        </w:rPr>
        <w:t>Concessão da outorga conforme o artigo 3º</w:t>
      </w:r>
      <w:r w:rsidR="00CD6699" w:rsidRPr="00CD6699">
        <w:rPr>
          <w:rFonts w:ascii="Arial" w:hAnsi="Arial" w:cs="Arial"/>
        </w:rPr>
        <w:t>;</w:t>
      </w:r>
    </w:p>
    <w:p w14:paraId="30854F43" w14:textId="30A5D14E" w:rsidR="00CD6699" w:rsidRPr="00CD6699" w:rsidRDefault="00CD6699" w:rsidP="00CD669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6699">
        <w:rPr>
          <w:rFonts w:ascii="Arial" w:hAnsi="Arial" w:cs="Arial"/>
        </w:rPr>
        <w:t>Desativação temporária;</w:t>
      </w:r>
    </w:p>
    <w:p w14:paraId="645B74A0" w14:textId="677011ED" w:rsidR="00CD6699" w:rsidRPr="00CD6699" w:rsidRDefault="00CD6699" w:rsidP="00CD669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6699">
        <w:rPr>
          <w:rFonts w:ascii="Arial" w:hAnsi="Arial" w:cs="Arial"/>
        </w:rPr>
        <w:t>Tamponamento do poço de abastecimento;</w:t>
      </w:r>
    </w:p>
    <w:p w14:paraId="516C8CA9" w14:textId="79D63197" w:rsidR="00CD6699" w:rsidRPr="00D06578" w:rsidRDefault="00CD6699" w:rsidP="00D0657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105B">
        <w:rPr>
          <w:rFonts w:ascii="Arial" w:hAnsi="Arial" w:cs="Arial"/>
        </w:rPr>
        <w:t xml:space="preserve">Utilização do poço de abastecimento de água como poço de monitoramento da ARC de </w:t>
      </w:r>
      <w:proofErr w:type="spellStart"/>
      <w:r w:rsidRPr="00EE105B">
        <w:rPr>
          <w:rFonts w:ascii="Arial" w:hAnsi="Arial" w:cs="Arial"/>
        </w:rPr>
        <w:t>Jurubatuba</w:t>
      </w:r>
      <w:proofErr w:type="spellEnd"/>
      <w:r w:rsidR="00D06578">
        <w:rPr>
          <w:rFonts w:ascii="Arial" w:hAnsi="Arial" w:cs="Arial"/>
        </w:rPr>
        <w:t>.</w:t>
      </w:r>
    </w:p>
    <w:p w14:paraId="3B7BDDEF" w14:textId="77777777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9FDE07C" w14:textId="36B592EE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609F">
        <w:rPr>
          <w:rFonts w:ascii="Arial" w:hAnsi="Arial" w:cs="Arial"/>
          <w:b/>
          <w:bCs/>
          <w:sz w:val="22"/>
          <w:szCs w:val="22"/>
        </w:rPr>
        <w:t xml:space="preserve">Artigo </w:t>
      </w:r>
      <w:r w:rsidR="003905DC">
        <w:rPr>
          <w:rFonts w:ascii="Arial" w:hAnsi="Arial" w:cs="Arial"/>
          <w:b/>
          <w:bCs/>
          <w:sz w:val="22"/>
          <w:szCs w:val="22"/>
        </w:rPr>
        <w:t>8</w:t>
      </w:r>
      <w:r w:rsidRPr="0090609F">
        <w:rPr>
          <w:rFonts w:ascii="Arial" w:hAnsi="Arial" w:cs="Arial"/>
          <w:b/>
          <w:bCs/>
          <w:sz w:val="22"/>
          <w:szCs w:val="22"/>
        </w:rPr>
        <w:t>º</w:t>
      </w:r>
      <w:r w:rsidRPr="0090609F">
        <w:rPr>
          <w:rFonts w:ascii="Arial" w:hAnsi="Arial" w:cs="Arial"/>
          <w:sz w:val="22"/>
          <w:szCs w:val="22"/>
        </w:rPr>
        <w:t xml:space="preserve"> – A cada dois anos, o Departamento de Águas e Energia Elétrica (DAEE), a C</w:t>
      </w:r>
      <w:r w:rsidR="009E7869">
        <w:rPr>
          <w:rFonts w:ascii="Arial" w:hAnsi="Arial" w:cs="Arial"/>
          <w:sz w:val="22"/>
          <w:szCs w:val="22"/>
        </w:rPr>
        <w:t>ETESB</w:t>
      </w:r>
      <w:r w:rsidRPr="0090609F">
        <w:rPr>
          <w:rFonts w:ascii="Arial" w:hAnsi="Arial" w:cs="Arial"/>
          <w:sz w:val="22"/>
          <w:szCs w:val="22"/>
        </w:rPr>
        <w:t xml:space="preserve"> e as Vigilâncias Estadual e Municipal de Saúde apresentarão relatório conjunto sobre a área de restrição aqui deliberada, e submeterá à apreciação da Câmara Técnica de Águas Subterrâneas – CT-AS do Comitê da Bacia do Alto Tiete – CBH-AT. </w:t>
      </w:r>
    </w:p>
    <w:p w14:paraId="3B99B38A" w14:textId="77777777" w:rsidR="0090609F" w:rsidRP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4D9A03" w14:textId="6DF32D9F" w:rsidR="0090609F" w:rsidRDefault="0090609F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1CC6">
        <w:rPr>
          <w:rFonts w:ascii="Arial" w:hAnsi="Arial" w:cs="Arial"/>
          <w:b/>
          <w:bCs/>
          <w:sz w:val="22"/>
          <w:szCs w:val="22"/>
        </w:rPr>
        <w:t>Parágrafo Único</w:t>
      </w:r>
      <w:r w:rsidRPr="0090609F">
        <w:rPr>
          <w:rFonts w:ascii="Arial" w:hAnsi="Arial" w:cs="Arial"/>
          <w:sz w:val="22"/>
          <w:szCs w:val="22"/>
        </w:rPr>
        <w:t xml:space="preserve"> – O relatório acima citado deverá conter a compilação das informações recebidas dos usuários durante o período, atualização do cadastro de poços e resumo das decisões tomadas. </w:t>
      </w:r>
    </w:p>
    <w:p w14:paraId="252A1224" w14:textId="77777777" w:rsidR="00E33649" w:rsidRPr="0090609F" w:rsidRDefault="00E33649" w:rsidP="00E336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58D3706" w14:textId="1D14A3E2" w:rsidR="00E33649" w:rsidRDefault="0090609F" w:rsidP="00E33649">
      <w:pPr>
        <w:pStyle w:val="Corpodetexto3"/>
        <w:spacing w:after="0"/>
        <w:jc w:val="both"/>
        <w:rPr>
          <w:rFonts w:ascii="Arial" w:hAnsi="Arial" w:cs="Arial"/>
          <w:sz w:val="22"/>
          <w:szCs w:val="22"/>
        </w:rPr>
      </w:pPr>
      <w:r w:rsidRPr="0090609F">
        <w:rPr>
          <w:rFonts w:ascii="Arial" w:hAnsi="Arial" w:cs="Arial"/>
          <w:b/>
          <w:bCs/>
          <w:sz w:val="22"/>
          <w:szCs w:val="22"/>
        </w:rPr>
        <w:t xml:space="preserve">Artigo </w:t>
      </w:r>
      <w:r w:rsidR="003905DC">
        <w:rPr>
          <w:rFonts w:ascii="Arial" w:hAnsi="Arial" w:cs="Arial"/>
          <w:b/>
          <w:bCs/>
          <w:sz w:val="22"/>
          <w:szCs w:val="22"/>
        </w:rPr>
        <w:t>9</w:t>
      </w:r>
      <w:r w:rsidRPr="0090609F">
        <w:rPr>
          <w:rFonts w:ascii="Arial" w:hAnsi="Arial" w:cs="Arial"/>
          <w:b/>
          <w:bCs/>
          <w:sz w:val="22"/>
          <w:szCs w:val="22"/>
        </w:rPr>
        <w:t>º</w:t>
      </w:r>
      <w:r w:rsidRPr="0090609F">
        <w:rPr>
          <w:rFonts w:ascii="Arial" w:hAnsi="Arial" w:cs="Arial"/>
          <w:sz w:val="22"/>
          <w:szCs w:val="22"/>
        </w:rPr>
        <w:t xml:space="preserve"> – Os poços </w:t>
      </w:r>
      <w:r w:rsidR="009F2421">
        <w:rPr>
          <w:rFonts w:ascii="Arial" w:hAnsi="Arial" w:cs="Arial"/>
          <w:sz w:val="22"/>
          <w:szCs w:val="22"/>
        </w:rPr>
        <w:t xml:space="preserve">a serem perfurados nos </w:t>
      </w:r>
      <w:r w:rsidR="009F2421" w:rsidRPr="0090609F">
        <w:rPr>
          <w:rFonts w:ascii="Arial" w:hAnsi="Arial" w:cs="Arial"/>
          <w:sz w:val="22"/>
          <w:szCs w:val="22"/>
        </w:rPr>
        <w:t xml:space="preserve">aquíferos sedimentar e cristalino </w:t>
      </w:r>
      <w:r w:rsidR="009F2421">
        <w:rPr>
          <w:rFonts w:ascii="Arial" w:hAnsi="Arial" w:cs="Arial"/>
          <w:sz w:val="22"/>
          <w:szCs w:val="22"/>
        </w:rPr>
        <w:t xml:space="preserve">para fins </w:t>
      </w:r>
      <w:r w:rsidRPr="0090609F">
        <w:rPr>
          <w:rFonts w:ascii="Arial" w:hAnsi="Arial" w:cs="Arial"/>
          <w:sz w:val="22"/>
          <w:szCs w:val="22"/>
        </w:rPr>
        <w:t>de monitoramento</w:t>
      </w:r>
      <w:r w:rsidR="004E5D60">
        <w:rPr>
          <w:rFonts w:ascii="Arial" w:hAnsi="Arial" w:cs="Arial"/>
          <w:sz w:val="22"/>
          <w:szCs w:val="22"/>
        </w:rPr>
        <w:t>,</w:t>
      </w:r>
      <w:r w:rsidRPr="0090609F">
        <w:rPr>
          <w:rFonts w:ascii="Arial" w:hAnsi="Arial" w:cs="Arial"/>
          <w:sz w:val="22"/>
          <w:szCs w:val="22"/>
        </w:rPr>
        <w:t xml:space="preserve"> investigação ou remediação de áreas contaminadas não necessitam de outorga, sendo avaliados caso a caso nos processos de gerenciamento de áreas contaminadas conduzidos pela CETESB.</w:t>
      </w:r>
    </w:p>
    <w:p w14:paraId="5CBE9FD6" w14:textId="77777777" w:rsidR="00E33649" w:rsidRPr="0090609F" w:rsidRDefault="00E33649" w:rsidP="00E33649">
      <w:pPr>
        <w:pStyle w:val="Corpodetexto3"/>
        <w:spacing w:after="0"/>
        <w:jc w:val="both"/>
        <w:rPr>
          <w:rFonts w:ascii="Arial" w:hAnsi="Arial" w:cs="Arial"/>
          <w:sz w:val="22"/>
          <w:szCs w:val="22"/>
        </w:rPr>
      </w:pPr>
    </w:p>
    <w:p w14:paraId="062BCC4F" w14:textId="2CCD5027" w:rsidR="0090609F" w:rsidRPr="0090609F" w:rsidRDefault="0090609F" w:rsidP="00E33649">
      <w:pPr>
        <w:pStyle w:val="Corpodetexto3"/>
        <w:spacing w:after="0"/>
        <w:jc w:val="both"/>
        <w:rPr>
          <w:rFonts w:ascii="Arial" w:hAnsi="Arial" w:cs="Arial"/>
          <w:sz w:val="22"/>
          <w:szCs w:val="22"/>
        </w:rPr>
      </w:pPr>
      <w:r w:rsidRPr="00871CC6">
        <w:rPr>
          <w:rFonts w:ascii="Arial" w:hAnsi="Arial" w:cs="Arial"/>
          <w:b/>
          <w:bCs/>
          <w:sz w:val="22"/>
          <w:szCs w:val="22"/>
        </w:rPr>
        <w:t>Parágrafo único</w:t>
      </w:r>
      <w:r w:rsidR="00871CC6">
        <w:rPr>
          <w:rFonts w:ascii="Arial" w:hAnsi="Arial" w:cs="Arial"/>
          <w:sz w:val="22"/>
          <w:szCs w:val="22"/>
        </w:rPr>
        <w:t xml:space="preserve"> -</w:t>
      </w:r>
      <w:r w:rsidRPr="0090609F">
        <w:rPr>
          <w:rFonts w:ascii="Arial" w:hAnsi="Arial" w:cs="Arial"/>
          <w:sz w:val="22"/>
          <w:szCs w:val="22"/>
        </w:rPr>
        <w:t xml:space="preserve"> </w:t>
      </w:r>
      <w:r w:rsidRPr="00871CC6">
        <w:rPr>
          <w:rFonts w:ascii="Arial" w:hAnsi="Arial" w:cs="Arial"/>
          <w:sz w:val="22"/>
          <w:szCs w:val="22"/>
        </w:rPr>
        <w:t>Se</w:t>
      </w:r>
      <w:r w:rsidRPr="0090609F">
        <w:rPr>
          <w:rFonts w:ascii="Arial" w:hAnsi="Arial" w:cs="Arial"/>
          <w:sz w:val="22"/>
          <w:szCs w:val="22"/>
        </w:rPr>
        <w:t xml:space="preserve"> o responsável pelo sistema de remediação </w:t>
      </w:r>
      <w:r w:rsidRPr="00871CC6">
        <w:rPr>
          <w:rFonts w:ascii="Arial" w:hAnsi="Arial" w:cs="Arial"/>
          <w:sz w:val="22"/>
          <w:szCs w:val="22"/>
        </w:rPr>
        <w:t>pretender</w:t>
      </w:r>
      <w:r w:rsidR="00871CC6">
        <w:rPr>
          <w:rFonts w:ascii="Arial" w:hAnsi="Arial" w:cs="Arial"/>
          <w:sz w:val="22"/>
          <w:szCs w:val="22"/>
        </w:rPr>
        <w:t xml:space="preserve"> </w:t>
      </w:r>
      <w:r w:rsidRPr="0090609F">
        <w:rPr>
          <w:rFonts w:ascii="Arial" w:hAnsi="Arial" w:cs="Arial"/>
          <w:sz w:val="22"/>
          <w:szCs w:val="22"/>
        </w:rPr>
        <w:t xml:space="preserve">utilizar a água tratada desse sistema, deverá, </w:t>
      </w:r>
      <w:r w:rsidRPr="00871CC6">
        <w:rPr>
          <w:rFonts w:ascii="Arial" w:hAnsi="Arial" w:cs="Arial"/>
          <w:sz w:val="22"/>
          <w:szCs w:val="22"/>
        </w:rPr>
        <w:t>mediante parecer Técnico da CETESB,</w:t>
      </w:r>
      <w:r w:rsidRPr="0090609F">
        <w:rPr>
          <w:rFonts w:ascii="Arial" w:hAnsi="Arial" w:cs="Arial"/>
          <w:sz w:val="22"/>
          <w:szCs w:val="22"/>
        </w:rPr>
        <w:t xml:space="preserve"> solicitar </w:t>
      </w:r>
      <w:r w:rsidR="00014A57">
        <w:rPr>
          <w:rFonts w:ascii="Arial" w:hAnsi="Arial" w:cs="Arial"/>
          <w:sz w:val="22"/>
          <w:szCs w:val="22"/>
        </w:rPr>
        <w:t xml:space="preserve">a </w:t>
      </w:r>
      <w:r w:rsidRPr="0090609F">
        <w:rPr>
          <w:rFonts w:ascii="Arial" w:hAnsi="Arial" w:cs="Arial"/>
          <w:sz w:val="22"/>
          <w:szCs w:val="22"/>
        </w:rPr>
        <w:t>outorga conforme procedimento estabelecido na Portaria D</w:t>
      </w:r>
      <w:r w:rsidR="00014A57">
        <w:rPr>
          <w:rFonts w:ascii="Arial" w:hAnsi="Arial" w:cs="Arial"/>
          <w:sz w:val="22"/>
          <w:szCs w:val="22"/>
        </w:rPr>
        <w:t>AEE</w:t>
      </w:r>
      <w:r w:rsidRPr="0090609F">
        <w:rPr>
          <w:rFonts w:ascii="Arial" w:hAnsi="Arial" w:cs="Arial"/>
          <w:sz w:val="22"/>
          <w:szCs w:val="22"/>
        </w:rPr>
        <w:t xml:space="preserve"> nº 1635/2017.</w:t>
      </w:r>
    </w:p>
    <w:p w14:paraId="5949B409" w14:textId="77777777" w:rsidR="0090609F" w:rsidRPr="0090609F" w:rsidRDefault="0090609F" w:rsidP="00E336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B8CA617" w14:textId="7F19B4AE" w:rsidR="0090609F" w:rsidRPr="0090609F" w:rsidRDefault="0090609F" w:rsidP="00E33649">
      <w:pPr>
        <w:jc w:val="both"/>
        <w:rPr>
          <w:rFonts w:ascii="Arial" w:hAnsi="Arial" w:cs="Arial"/>
          <w:sz w:val="22"/>
          <w:szCs w:val="22"/>
        </w:rPr>
      </w:pPr>
      <w:r w:rsidRPr="0090609F">
        <w:rPr>
          <w:rFonts w:ascii="Arial" w:hAnsi="Arial" w:cs="Arial"/>
          <w:b/>
          <w:bCs/>
          <w:sz w:val="22"/>
          <w:szCs w:val="22"/>
        </w:rPr>
        <w:t xml:space="preserve">Artigo </w:t>
      </w:r>
      <w:r w:rsidR="003905DC">
        <w:rPr>
          <w:rFonts w:ascii="Arial" w:hAnsi="Arial" w:cs="Arial"/>
          <w:b/>
          <w:bCs/>
          <w:sz w:val="22"/>
          <w:szCs w:val="22"/>
        </w:rPr>
        <w:t>10</w:t>
      </w:r>
      <w:r w:rsidRPr="0090609F">
        <w:rPr>
          <w:rFonts w:ascii="Arial" w:hAnsi="Arial" w:cs="Arial"/>
          <w:sz w:val="22"/>
          <w:szCs w:val="22"/>
        </w:rPr>
        <w:t xml:space="preserve"> – Os usuários ou responsáveis pelos poços de abastecimento que não apresentarem os documentos solicitados nesta Deliberação, nos prazos estabelecidos, estarão sujeitos às sanções previstas no Decreto nº 63262/2018.</w:t>
      </w:r>
    </w:p>
    <w:p w14:paraId="5DCCC4FA" w14:textId="77777777" w:rsidR="0090609F" w:rsidRPr="0090609F" w:rsidRDefault="0090609F" w:rsidP="00E33649">
      <w:pPr>
        <w:jc w:val="both"/>
        <w:rPr>
          <w:rFonts w:ascii="Arial" w:hAnsi="Arial" w:cs="Arial"/>
          <w:sz w:val="22"/>
          <w:szCs w:val="22"/>
        </w:rPr>
      </w:pPr>
    </w:p>
    <w:p w14:paraId="13AD9825" w14:textId="5763A18C" w:rsidR="0090609F" w:rsidRPr="0090609F" w:rsidRDefault="0090609F" w:rsidP="00E33649">
      <w:pPr>
        <w:jc w:val="both"/>
        <w:rPr>
          <w:rFonts w:ascii="Arial" w:hAnsi="Arial" w:cs="Arial"/>
          <w:sz w:val="22"/>
          <w:szCs w:val="22"/>
        </w:rPr>
      </w:pPr>
      <w:r w:rsidRPr="0090609F">
        <w:rPr>
          <w:rFonts w:ascii="Arial" w:hAnsi="Arial" w:cs="Arial"/>
          <w:b/>
          <w:bCs/>
          <w:sz w:val="22"/>
          <w:szCs w:val="22"/>
        </w:rPr>
        <w:t>Artigo 1</w:t>
      </w:r>
      <w:r w:rsidR="003905DC">
        <w:rPr>
          <w:rFonts w:ascii="Arial" w:hAnsi="Arial" w:cs="Arial"/>
          <w:b/>
          <w:bCs/>
          <w:sz w:val="22"/>
          <w:szCs w:val="22"/>
        </w:rPr>
        <w:t>1</w:t>
      </w:r>
      <w:r w:rsidRPr="0090609F">
        <w:rPr>
          <w:rFonts w:ascii="Arial" w:hAnsi="Arial" w:cs="Arial"/>
          <w:sz w:val="22"/>
          <w:szCs w:val="22"/>
        </w:rPr>
        <w:t xml:space="preserve"> – Em todas as ações de fiscalização realizadas </w:t>
      </w:r>
      <w:bookmarkStart w:id="7" w:name="_Hlk56599544"/>
      <w:r w:rsidRPr="0090609F">
        <w:rPr>
          <w:rFonts w:ascii="Arial" w:hAnsi="Arial" w:cs="Arial"/>
          <w:sz w:val="22"/>
          <w:szCs w:val="22"/>
        </w:rPr>
        <w:t xml:space="preserve">pelos órgãos gerenciadores </w:t>
      </w:r>
      <w:r w:rsidR="00EB0B0D" w:rsidRPr="0090609F">
        <w:rPr>
          <w:rFonts w:ascii="Arial" w:hAnsi="Arial" w:cs="Arial"/>
          <w:sz w:val="22"/>
          <w:szCs w:val="22"/>
        </w:rPr>
        <w:t>C</w:t>
      </w:r>
      <w:r w:rsidR="00EB0B0D">
        <w:rPr>
          <w:rFonts w:ascii="Arial" w:hAnsi="Arial" w:cs="Arial"/>
          <w:sz w:val="22"/>
          <w:szCs w:val="22"/>
        </w:rPr>
        <w:t>ETESB</w:t>
      </w:r>
      <w:r w:rsidR="00EB0B0D" w:rsidRPr="0090609F">
        <w:rPr>
          <w:rFonts w:ascii="Arial" w:hAnsi="Arial" w:cs="Arial"/>
          <w:sz w:val="22"/>
          <w:szCs w:val="22"/>
        </w:rPr>
        <w:t>, D</w:t>
      </w:r>
      <w:r w:rsidR="00EB0B0D">
        <w:rPr>
          <w:rFonts w:ascii="Arial" w:hAnsi="Arial" w:cs="Arial"/>
          <w:sz w:val="22"/>
          <w:szCs w:val="22"/>
        </w:rPr>
        <w:t>AEE</w:t>
      </w:r>
      <w:r w:rsidR="00EB0B0D" w:rsidRPr="0090609F">
        <w:rPr>
          <w:rFonts w:ascii="Arial" w:hAnsi="Arial" w:cs="Arial"/>
          <w:sz w:val="22"/>
          <w:szCs w:val="22"/>
        </w:rPr>
        <w:t xml:space="preserve"> e </w:t>
      </w:r>
      <w:r w:rsidR="00EB0B0D">
        <w:rPr>
          <w:rFonts w:ascii="Arial" w:hAnsi="Arial" w:cs="Arial"/>
          <w:sz w:val="22"/>
          <w:szCs w:val="22"/>
        </w:rPr>
        <w:t xml:space="preserve">as </w:t>
      </w:r>
      <w:r w:rsidR="00EB0B0D" w:rsidRPr="0090609F">
        <w:rPr>
          <w:rFonts w:ascii="Arial" w:hAnsi="Arial" w:cs="Arial"/>
          <w:sz w:val="22"/>
          <w:szCs w:val="22"/>
        </w:rPr>
        <w:t>Vigilâncias Estadual e Municipal</w:t>
      </w:r>
      <w:r w:rsidR="00EB0B0D">
        <w:rPr>
          <w:rFonts w:ascii="Arial" w:hAnsi="Arial" w:cs="Arial"/>
          <w:sz w:val="22"/>
          <w:szCs w:val="22"/>
        </w:rPr>
        <w:t xml:space="preserve"> de São Paulo</w:t>
      </w:r>
      <w:bookmarkEnd w:id="7"/>
      <w:r w:rsidRPr="0090609F">
        <w:rPr>
          <w:rFonts w:ascii="Arial" w:hAnsi="Arial" w:cs="Arial"/>
          <w:sz w:val="22"/>
          <w:szCs w:val="22"/>
        </w:rPr>
        <w:t xml:space="preserve"> deverá ser exigida </w:t>
      </w:r>
      <w:r w:rsidR="00EB0B0D">
        <w:rPr>
          <w:rFonts w:ascii="Arial" w:hAnsi="Arial" w:cs="Arial"/>
          <w:sz w:val="22"/>
          <w:szCs w:val="22"/>
        </w:rPr>
        <w:t>d</w:t>
      </w:r>
      <w:r w:rsidRPr="0090609F">
        <w:rPr>
          <w:rFonts w:ascii="Arial" w:hAnsi="Arial" w:cs="Arial"/>
          <w:sz w:val="22"/>
          <w:szCs w:val="22"/>
        </w:rPr>
        <w:t>os usuários ou responsáveis pelos poços de abastecimento, a documentação necessária para comprovar o cumprimento das exigências estabelecidas nesta Deliberação.</w:t>
      </w:r>
    </w:p>
    <w:p w14:paraId="05B27772" w14:textId="77777777" w:rsidR="0090609F" w:rsidRPr="0090609F" w:rsidRDefault="0090609F" w:rsidP="00E33649">
      <w:pPr>
        <w:jc w:val="both"/>
        <w:rPr>
          <w:rFonts w:ascii="Arial" w:hAnsi="Arial" w:cs="Arial"/>
          <w:sz w:val="22"/>
          <w:szCs w:val="22"/>
        </w:rPr>
      </w:pPr>
    </w:p>
    <w:p w14:paraId="2A9D0624" w14:textId="44C1000E" w:rsidR="0090609F" w:rsidRPr="0090609F" w:rsidRDefault="0090609F" w:rsidP="00E33649">
      <w:pPr>
        <w:jc w:val="both"/>
        <w:rPr>
          <w:rFonts w:ascii="Arial" w:hAnsi="Arial" w:cs="Arial"/>
          <w:sz w:val="22"/>
          <w:szCs w:val="22"/>
        </w:rPr>
      </w:pPr>
      <w:r w:rsidRPr="00871CC6">
        <w:rPr>
          <w:rFonts w:ascii="Arial" w:hAnsi="Arial" w:cs="Arial"/>
          <w:b/>
          <w:bCs/>
          <w:sz w:val="22"/>
          <w:szCs w:val="22"/>
        </w:rPr>
        <w:t>Artigo 1</w:t>
      </w:r>
      <w:r w:rsidR="003905DC">
        <w:rPr>
          <w:rFonts w:ascii="Arial" w:hAnsi="Arial" w:cs="Arial"/>
          <w:b/>
          <w:bCs/>
          <w:sz w:val="22"/>
          <w:szCs w:val="22"/>
        </w:rPr>
        <w:t>2</w:t>
      </w:r>
      <w:r w:rsidRPr="0090609F">
        <w:rPr>
          <w:rFonts w:ascii="Arial" w:hAnsi="Arial" w:cs="Arial"/>
          <w:sz w:val="22"/>
          <w:szCs w:val="22"/>
        </w:rPr>
        <w:t xml:space="preserve"> – Os resultados das ações de fiscalização realizadas pelos órgãos gerenciadores</w:t>
      </w:r>
      <w:r w:rsidR="00014A57">
        <w:rPr>
          <w:rFonts w:ascii="Arial" w:hAnsi="Arial" w:cs="Arial"/>
          <w:sz w:val="22"/>
          <w:szCs w:val="22"/>
        </w:rPr>
        <w:t>,</w:t>
      </w:r>
      <w:r w:rsidRPr="0090609F">
        <w:rPr>
          <w:rFonts w:ascii="Arial" w:hAnsi="Arial" w:cs="Arial"/>
          <w:sz w:val="22"/>
          <w:szCs w:val="22"/>
        </w:rPr>
        <w:t xml:space="preserve"> C</w:t>
      </w:r>
      <w:r w:rsidR="00014A57">
        <w:rPr>
          <w:rFonts w:ascii="Arial" w:hAnsi="Arial" w:cs="Arial"/>
          <w:sz w:val="22"/>
          <w:szCs w:val="22"/>
        </w:rPr>
        <w:t>ETESB</w:t>
      </w:r>
      <w:r w:rsidRPr="0090609F">
        <w:rPr>
          <w:rFonts w:ascii="Arial" w:hAnsi="Arial" w:cs="Arial"/>
          <w:sz w:val="22"/>
          <w:szCs w:val="22"/>
        </w:rPr>
        <w:t>, D</w:t>
      </w:r>
      <w:r w:rsidR="00014A57">
        <w:rPr>
          <w:rFonts w:ascii="Arial" w:hAnsi="Arial" w:cs="Arial"/>
          <w:sz w:val="22"/>
          <w:szCs w:val="22"/>
        </w:rPr>
        <w:t>AEE</w:t>
      </w:r>
      <w:r w:rsidRPr="0090609F">
        <w:rPr>
          <w:rFonts w:ascii="Arial" w:hAnsi="Arial" w:cs="Arial"/>
          <w:sz w:val="22"/>
          <w:szCs w:val="22"/>
        </w:rPr>
        <w:t xml:space="preserve"> e </w:t>
      </w:r>
      <w:r w:rsidR="00014A57">
        <w:rPr>
          <w:rFonts w:ascii="Arial" w:hAnsi="Arial" w:cs="Arial"/>
          <w:sz w:val="22"/>
          <w:szCs w:val="22"/>
        </w:rPr>
        <w:t xml:space="preserve">as </w:t>
      </w:r>
      <w:r w:rsidRPr="0090609F">
        <w:rPr>
          <w:rFonts w:ascii="Arial" w:hAnsi="Arial" w:cs="Arial"/>
          <w:sz w:val="22"/>
          <w:szCs w:val="22"/>
        </w:rPr>
        <w:t>Vigilâncias Estadual e Municipal</w:t>
      </w:r>
      <w:r w:rsidR="00014A57">
        <w:rPr>
          <w:rFonts w:ascii="Arial" w:hAnsi="Arial" w:cs="Arial"/>
          <w:sz w:val="22"/>
          <w:szCs w:val="22"/>
        </w:rPr>
        <w:t xml:space="preserve"> de São Paulo</w:t>
      </w:r>
      <w:r w:rsidRPr="0090609F">
        <w:rPr>
          <w:rFonts w:ascii="Arial" w:hAnsi="Arial" w:cs="Arial"/>
          <w:sz w:val="22"/>
          <w:szCs w:val="22"/>
        </w:rPr>
        <w:t xml:space="preserve"> deverão </w:t>
      </w:r>
      <w:r w:rsidR="00EB0B0D">
        <w:rPr>
          <w:rFonts w:ascii="Arial" w:hAnsi="Arial" w:cs="Arial"/>
          <w:sz w:val="22"/>
          <w:szCs w:val="22"/>
        </w:rPr>
        <w:t xml:space="preserve">também </w:t>
      </w:r>
      <w:r w:rsidRPr="0090609F">
        <w:rPr>
          <w:rFonts w:ascii="Arial" w:hAnsi="Arial" w:cs="Arial"/>
          <w:sz w:val="22"/>
          <w:szCs w:val="22"/>
        </w:rPr>
        <w:t>ser inserid</w:t>
      </w:r>
      <w:r w:rsidR="00014A57">
        <w:rPr>
          <w:rFonts w:ascii="Arial" w:hAnsi="Arial" w:cs="Arial"/>
          <w:sz w:val="22"/>
          <w:szCs w:val="22"/>
        </w:rPr>
        <w:t>o</w:t>
      </w:r>
      <w:r w:rsidRPr="0090609F">
        <w:rPr>
          <w:rFonts w:ascii="Arial" w:hAnsi="Arial" w:cs="Arial"/>
          <w:sz w:val="22"/>
          <w:szCs w:val="22"/>
        </w:rPr>
        <w:t xml:space="preserve">s no Banco de Dados da ARC </w:t>
      </w:r>
      <w:proofErr w:type="spellStart"/>
      <w:r w:rsidRPr="0090609F">
        <w:rPr>
          <w:rFonts w:ascii="Arial" w:hAnsi="Arial" w:cs="Arial"/>
          <w:sz w:val="22"/>
          <w:szCs w:val="22"/>
        </w:rPr>
        <w:t>Jurubatuba</w:t>
      </w:r>
      <w:proofErr w:type="spellEnd"/>
      <w:r w:rsidR="00014A57">
        <w:rPr>
          <w:rFonts w:ascii="Arial" w:hAnsi="Arial" w:cs="Arial"/>
          <w:sz w:val="22"/>
          <w:szCs w:val="22"/>
        </w:rPr>
        <w:t xml:space="preserve"> e</w:t>
      </w:r>
      <w:r w:rsidRPr="00871CC6">
        <w:rPr>
          <w:rFonts w:ascii="Arial" w:hAnsi="Arial" w:cs="Arial"/>
          <w:sz w:val="22"/>
          <w:szCs w:val="22"/>
        </w:rPr>
        <w:t xml:space="preserve"> no SIVISA – Sistema de Informação em Vigilância Sanitária</w:t>
      </w:r>
      <w:r w:rsidRPr="0090609F">
        <w:rPr>
          <w:rFonts w:ascii="Arial" w:hAnsi="Arial" w:cs="Arial"/>
          <w:sz w:val="22"/>
          <w:szCs w:val="22"/>
        </w:rPr>
        <w:t xml:space="preserve">, no prazo de 30 dias, para conhecimento de todos da situação encontrada e adoção das medidas necessárias de acordo com suas atribuições. </w:t>
      </w:r>
    </w:p>
    <w:p w14:paraId="7E58579B" w14:textId="77777777" w:rsidR="0090609F" w:rsidRPr="0090609F" w:rsidRDefault="0090609F" w:rsidP="00E33649">
      <w:pPr>
        <w:jc w:val="both"/>
        <w:rPr>
          <w:rFonts w:ascii="Arial" w:hAnsi="Arial" w:cs="Arial"/>
          <w:sz w:val="22"/>
          <w:szCs w:val="22"/>
        </w:rPr>
      </w:pPr>
    </w:p>
    <w:p w14:paraId="1E25D523" w14:textId="1F91E597" w:rsidR="0090609F" w:rsidRPr="0090609F" w:rsidRDefault="0090609F" w:rsidP="00E33649">
      <w:pPr>
        <w:jc w:val="both"/>
        <w:rPr>
          <w:rFonts w:ascii="Arial" w:hAnsi="Arial" w:cs="Arial"/>
          <w:sz w:val="22"/>
          <w:szCs w:val="22"/>
        </w:rPr>
      </w:pPr>
      <w:r w:rsidRPr="0090609F">
        <w:rPr>
          <w:rFonts w:ascii="Arial" w:hAnsi="Arial" w:cs="Arial"/>
          <w:b/>
          <w:bCs/>
          <w:sz w:val="22"/>
          <w:szCs w:val="22"/>
        </w:rPr>
        <w:t>Artigo 1</w:t>
      </w:r>
      <w:r w:rsidR="003905DC">
        <w:rPr>
          <w:rFonts w:ascii="Arial" w:hAnsi="Arial" w:cs="Arial"/>
          <w:b/>
          <w:bCs/>
          <w:sz w:val="22"/>
          <w:szCs w:val="22"/>
        </w:rPr>
        <w:t>3</w:t>
      </w:r>
      <w:r w:rsidRPr="009060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609F">
        <w:rPr>
          <w:rFonts w:ascii="Arial" w:hAnsi="Arial" w:cs="Arial"/>
          <w:sz w:val="22"/>
          <w:szCs w:val="22"/>
        </w:rPr>
        <w:t>– Esta Deliberação entrará em vigor após aprovação do Conselho Estadual de Recursos Hídricos – CRH.</w:t>
      </w:r>
    </w:p>
    <w:p w14:paraId="1C8AC3EE" w14:textId="784455B9" w:rsidR="007025E7" w:rsidRPr="0090609F" w:rsidRDefault="007025E7" w:rsidP="00E33649">
      <w:pPr>
        <w:jc w:val="both"/>
        <w:rPr>
          <w:b/>
          <w:bCs/>
          <w:sz w:val="22"/>
          <w:szCs w:val="22"/>
        </w:rPr>
      </w:pPr>
      <w:r w:rsidRPr="0090609F">
        <w:rPr>
          <w:rFonts w:ascii="Arial" w:hAnsi="Arial" w:cs="Arial"/>
          <w:b/>
          <w:bCs/>
          <w:sz w:val="22"/>
          <w:szCs w:val="22"/>
        </w:rPr>
        <w:tab/>
      </w:r>
      <w:r w:rsidRPr="0090609F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                                                                       </w:t>
      </w:r>
    </w:p>
    <w:p w14:paraId="128B3850" w14:textId="77777777" w:rsidR="007025E7" w:rsidRPr="0090609F" w:rsidRDefault="007025E7" w:rsidP="00E33649">
      <w:pPr>
        <w:pStyle w:val="Default"/>
        <w:tabs>
          <w:tab w:val="left" w:pos="765"/>
        </w:tabs>
        <w:spacing w:line="280" w:lineRule="exact"/>
        <w:ind w:right="-1" w:hanging="851"/>
        <w:jc w:val="both"/>
        <w:rPr>
          <w:b/>
          <w:bCs/>
          <w:sz w:val="22"/>
          <w:szCs w:val="22"/>
        </w:rPr>
      </w:pPr>
      <w:r w:rsidRPr="0090609F">
        <w:rPr>
          <w:b/>
          <w:bCs/>
          <w:sz w:val="22"/>
          <w:szCs w:val="22"/>
        </w:rPr>
        <w:t xml:space="preserve">                       </w:t>
      </w:r>
      <w:r w:rsidRPr="0090609F">
        <w:rPr>
          <w:b/>
          <w:bCs/>
          <w:sz w:val="22"/>
          <w:szCs w:val="22"/>
        </w:rPr>
        <w:tab/>
        <w:t xml:space="preserve">  </w:t>
      </w:r>
      <w:r w:rsidRPr="0090609F">
        <w:rPr>
          <w:b/>
          <w:bCs/>
          <w:sz w:val="22"/>
          <w:szCs w:val="22"/>
        </w:rPr>
        <w:tab/>
        <w:t xml:space="preserve">                Amauri Pollachi               Luiz Fernando Carneseca</w:t>
      </w:r>
    </w:p>
    <w:p w14:paraId="42E87104" w14:textId="7A994F86" w:rsidR="0056541B" w:rsidRDefault="007025E7" w:rsidP="00E33649">
      <w:pPr>
        <w:pStyle w:val="Default"/>
        <w:tabs>
          <w:tab w:val="left" w:pos="765"/>
        </w:tabs>
        <w:spacing w:line="280" w:lineRule="exact"/>
        <w:ind w:right="-1" w:hanging="851"/>
        <w:jc w:val="both"/>
        <w:rPr>
          <w:bCs/>
          <w:sz w:val="22"/>
          <w:szCs w:val="22"/>
        </w:rPr>
      </w:pPr>
      <w:r w:rsidRPr="0090609F">
        <w:rPr>
          <w:b/>
          <w:bCs/>
          <w:sz w:val="22"/>
          <w:szCs w:val="22"/>
        </w:rPr>
        <w:t xml:space="preserve">                         </w:t>
      </w:r>
      <w:r w:rsidRPr="0090609F">
        <w:rPr>
          <w:bCs/>
          <w:sz w:val="22"/>
          <w:szCs w:val="22"/>
        </w:rPr>
        <w:tab/>
      </w:r>
      <w:r w:rsidRPr="0090609F">
        <w:rPr>
          <w:bCs/>
          <w:sz w:val="22"/>
          <w:szCs w:val="22"/>
        </w:rPr>
        <w:tab/>
        <w:t xml:space="preserve">          Presidente em exercício</w:t>
      </w:r>
      <w:r w:rsidRPr="0090609F">
        <w:rPr>
          <w:bCs/>
          <w:sz w:val="22"/>
          <w:szCs w:val="22"/>
        </w:rPr>
        <w:tab/>
      </w:r>
      <w:r w:rsidRPr="0090609F">
        <w:rPr>
          <w:bCs/>
          <w:sz w:val="22"/>
          <w:szCs w:val="22"/>
        </w:rPr>
        <w:tab/>
        <w:t xml:space="preserve"> Secretário</w:t>
      </w:r>
    </w:p>
    <w:p w14:paraId="668CCACD" w14:textId="424D15E1" w:rsidR="00D806F4" w:rsidRDefault="00D806F4" w:rsidP="00E33649">
      <w:pPr>
        <w:pStyle w:val="Default"/>
        <w:tabs>
          <w:tab w:val="left" w:pos="765"/>
        </w:tabs>
        <w:spacing w:line="280" w:lineRule="exact"/>
        <w:ind w:right="-1" w:hanging="851"/>
        <w:jc w:val="both"/>
        <w:rPr>
          <w:bCs/>
          <w:sz w:val="22"/>
          <w:szCs w:val="22"/>
        </w:rPr>
      </w:pPr>
    </w:p>
    <w:p w14:paraId="404028A8" w14:textId="77777777" w:rsidR="00D806F4" w:rsidRPr="0090609F" w:rsidRDefault="00D806F4" w:rsidP="00E33649">
      <w:pPr>
        <w:pStyle w:val="Default"/>
        <w:tabs>
          <w:tab w:val="left" w:pos="765"/>
        </w:tabs>
        <w:spacing w:line="280" w:lineRule="exact"/>
        <w:ind w:right="-1" w:hanging="851"/>
        <w:jc w:val="both"/>
        <w:rPr>
          <w:b/>
          <w:position w:val="-1"/>
          <w:lang w:eastAsia="en-US"/>
        </w:rPr>
      </w:pPr>
    </w:p>
    <w:sectPr w:rsidR="00D806F4" w:rsidRPr="0090609F" w:rsidSect="005424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454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ED90E" w14:textId="77777777" w:rsidR="00280B99" w:rsidRDefault="00280B99" w:rsidP="00366374">
      <w:r>
        <w:separator/>
      </w:r>
    </w:p>
  </w:endnote>
  <w:endnote w:type="continuationSeparator" w:id="0">
    <w:p w14:paraId="3D93415C" w14:textId="77777777" w:rsidR="00280B99" w:rsidRDefault="00280B99" w:rsidP="0036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2160885"/>
      <w:docPartObj>
        <w:docPartGallery w:val="Page Numbers (Bottom of Page)"/>
        <w:docPartUnique/>
      </w:docPartObj>
    </w:sdtPr>
    <w:sdtEndPr/>
    <w:sdtContent>
      <w:p w14:paraId="68ECBA0E" w14:textId="1572417F" w:rsidR="0082380C" w:rsidRDefault="0082380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DF31AC7" w14:textId="12E8BD17" w:rsidR="0082380C" w:rsidRDefault="0082380C">
    <w:pPr>
      <w:pStyle w:val="Rodap"/>
    </w:pPr>
  </w:p>
  <w:p w14:paraId="54D760C0" w14:textId="77777777" w:rsidR="0082380C" w:rsidRDefault="0082380C"/>
  <w:p w14:paraId="56421B56" w14:textId="77777777" w:rsidR="0082380C" w:rsidRDefault="008238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6FD04" w14:textId="77777777" w:rsidR="0082380C" w:rsidRDefault="0082380C" w:rsidP="00056588">
    <w:pPr>
      <w:pStyle w:val="Rodap"/>
      <w:jc w:val="right"/>
      <w:rPr>
        <w:rFonts w:ascii="Arial" w:hAnsi="Arial" w:cs="Arial"/>
        <w:i/>
        <w:sz w:val="18"/>
        <w:szCs w:val="18"/>
      </w:rPr>
    </w:pPr>
    <w:r>
      <w:rPr>
        <w:i/>
      </w:rPr>
      <w:t>Publicada no Diário Oficial em 04 de novembro de 2020 – Caderno I – página 53</w:t>
    </w:r>
  </w:p>
  <w:p w14:paraId="64D32AEB" w14:textId="4BCC7C41" w:rsidR="0082380C" w:rsidRDefault="0082380C">
    <w:pPr>
      <w:pStyle w:val="Rodap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A574C" w14:textId="77777777" w:rsidR="00280B99" w:rsidRDefault="00280B99" w:rsidP="00366374">
      <w:r>
        <w:separator/>
      </w:r>
    </w:p>
  </w:footnote>
  <w:footnote w:type="continuationSeparator" w:id="0">
    <w:p w14:paraId="24BBCFF1" w14:textId="77777777" w:rsidR="00280B99" w:rsidRDefault="00280B99" w:rsidP="00366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098B4" w14:textId="68123657" w:rsidR="0082380C" w:rsidRDefault="0082380C">
    <w:pPr>
      <w:pStyle w:val="Cabealho"/>
    </w:pPr>
  </w:p>
  <w:p w14:paraId="338F01A4" w14:textId="77777777" w:rsidR="0082380C" w:rsidRDefault="0082380C">
    <w:pPr>
      <w:pStyle w:val="Cabealho"/>
    </w:pPr>
  </w:p>
  <w:p w14:paraId="103EB8AA" w14:textId="77777777" w:rsidR="0082380C" w:rsidRDefault="0082380C">
    <w:pPr>
      <w:pStyle w:val="Cabealho"/>
    </w:pPr>
  </w:p>
  <w:p w14:paraId="27AEC63F" w14:textId="75453AE5" w:rsidR="0082380C" w:rsidRDefault="0082380C" w:rsidP="0054247F">
    <w:pPr>
      <w:pStyle w:val="Cabealho"/>
    </w:pPr>
    <w:r w:rsidRPr="00366374">
      <w:rPr>
        <w:noProof/>
        <w:lang w:eastAsia="pt-BR"/>
      </w:rPr>
      <w:drawing>
        <wp:anchor distT="0" distB="0" distL="114300" distR="114300" simplePos="0" relativeHeight="251667456" behindDoc="0" locked="1" layoutInCell="1" allowOverlap="1" wp14:anchorId="5F152A3F" wp14:editId="75344D66">
          <wp:simplePos x="0" y="0"/>
          <wp:positionH relativeFrom="margin">
            <wp:align>right</wp:align>
          </wp:positionH>
          <wp:positionV relativeFrom="topMargin">
            <wp:posOffset>122555</wp:posOffset>
          </wp:positionV>
          <wp:extent cx="682625" cy="894080"/>
          <wp:effectExtent l="0" t="0" r="3175" b="127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E2051" w14:textId="11827363" w:rsidR="0082380C" w:rsidRDefault="0082380C">
    <w:pPr>
      <w:pStyle w:val="Cabealho"/>
    </w:pPr>
    <w:r w:rsidRPr="00366374">
      <w:rPr>
        <w:noProof/>
        <w:lang w:eastAsia="pt-BR"/>
      </w:rPr>
      <w:drawing>
        <wp:anchor distT="0" distB="0" distL="114300" distR="114300" simplePos="0" relativeHeight="251665408" behindDoc="0" locked="1" layoutInCell="1" allowOverlap="1" wp14:anchorId="26E3A632" wp14:editId="43882AD0">
          <wp:simplePos x="0" y="0"/>
          <wp:positionH relativeFrom="margin">
            <wp:align>right</wp:align>
          </wp:positionH>
          <wp:positionV relativeFrom="topMargin">
            <wp:posOffset>92075</wp:posOffset>
          </wp:positionV>
          <wp:extent cx="682625" cy="894080"/>
          <wp:effectExtent l="0" t="0" r="3175" b="127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3D25"/>
    <w:multiLevelType w:val="multilevel"/>
    <w:tmpl w:val="F39AE17C"/>
    <w:lvl w:ilvl="0">
      <w:start w:val="1"/>
      <w:numFmt w:val="decimal"/>
      <w:lvlText w:val="%1)"/>
      <w:lvlJc w:val="left"/>
      <w:pPr>
        <w:ind w:left="1273" w:hanging="705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5CFF"/>
    <w:multiLevelType w:val="hybridMultilevel"/>
    <w:tmpl w:val="06A668F2"/>
    <w:lvl w:ilvl="0" w:tplc="0416001B">
      <w:start w:val="1"/>
      <w:numFmt w:val="lowerRoman"/>
      <w:lvlText w:val="%1."/>
      <w:lvlJc w:val="right"/>
      <w:pPr>
        <w:ind w:left="578" w:hanging="360"/>
      </w:pPr>
    </w:lvl>
    <w:lvl w:ilvl="1" w:tplc="04160019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008261A"/>
    <w:multiLevelType w:val="multilevel"/>
    <w:tmpl w:val="651C6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85876"/>
    <w:multiLevelType w:val="hybridMultilevel"/>
    <w:tmpl w:val="BAA86DE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028A5"/>
    <w:multiLevelType w:val="hybridMultilevel"/>
    <w:tmpl w:val="86D65CDA"/>
    <w:lvl w:ilvl="0" w:tplc="890E43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B10BB"/>
    <w:multiLevelType w:val="multilevel"/>
    <w:tmpl w:val="ABBA7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6" w15:restartNumberingAfterBreak="0">
    <w:nsid w:val="17677F41"/>
    <w:multiLevelType w:val="multilevel"/>
    <w:tmpl w:val="68285E6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9B1C49"/>
    <w:multiLevelType w:val="hybridMultilevel"/>
    <w:tmpl w:val="BB183A90"/>
    <w:lvl w:ilvl="0" w:tplc="1BC6D3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4610F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B1DC3"/>
    <w:multiLevelType w:val="hybridMultilevel"/>
    <w:tmpl w:val="B9A69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74135"/>
    <w:multiLevelType w:val="hybridMultilevel"/>
    <w:tmpl w:val="B60C5F80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B911EAD"/>
    <w:multiLevelType w:val="hybridMultilevel"/>
    <w:tmpl w:val="23607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94C79"/>
    <w:multiLevelType w:val="hybridMultilevel"/>
    <w:tmpl w:val="DC74CB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5EE206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94517"/>
    <w:multiLevelType w:val="hybridMultilevel"/>
    <w:tmpl w:val="EE4ED6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C02FD"/>
    <w:multiLevelType w:val="hybridMultilevel"/>
    <w:tmpl w:val="E8688748"/>
    <w:lvl w:ilvl="0" w:tplc="350680B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716CC"/>
    <w:multiLevelType w:val="hybridMultilevel"/>
    <w:tmpl w:val="86D65CDA"/>
    <w:lvl w:ilvl="0" w:tplc="890E43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66B84"/>
    <w:multiLevelType w:val="hybridMultilevel"/>
    <w:tmpl w:val="1090A8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05A03"/>
    <w:multiLevelType w:val="hybridMultilevel"/>
    <w:tmpl w:val="F0C0B358"/>
    <w:lvl w:ilvl="0" w:tplc="B47808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70276"/>
    <w:multiLevelType w:val="hybridMultilevel"/>
    <w:tmpl w:val="12B28DAE"/>
    <w:lvl w:ilvl="0" w:tplc="674C48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7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15"/>
  </w:num>
  <w:num w:numId="16">
    <w:abstractNumId w:val="16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A4D"/>
    <w:rsid w:val="00002883"/>
    <w:rsid w:val="00012D79"/>
    <w:rsid w:val="00014A57"/>
    <w:rsid w:val="00042CC6"/>
    <w:rsid w:val="00043A22"/>
    <w:rsid w:val="00056588"/>
    <w:rsid w:val="00064F03"/>
    <w:rsid w:val="00073E4D"/>
    <w:rsid w:val="0007734C"/>
    <w:rsid w:val="0008615B"/>
    <w:rsid w:val="00096026"/>
    <w:rsid w:val="000B34C8"/>
    <w:rsid w:val="000B4A9D"/>
    <w:rsid w:val="000B732E"/>
    <w:rsid w:val="000C015C"/>
    <w:rsid w:val="000D377B"/>
    <w:rsid w:val="000E52DA"/>
    <w:rsid w:val="000F02B1"/>
    <w:rsid w:val="00133604"/>
    <w:rsid w:val="00144E9A"/>
    <w:rsid w:val="001537DD"/>
    <w:rsid w:val="00161CE5"/>
    <w:rsid w:val="0016220D"/>
    <w:rsid w:val="001674D6"/>
    <w:rsid w:val="001716DD"/>
    <w:rsid w:val="00172A18"/>
    <w:rsid w:val="00175A1E"/>
    <w:rsid w:val="00176781"/>
    <w:rsid w:val="0018726D"/>
    <w:rsid w:val="001A096A"/>
    <w:rsid w:val="001B2768"/>
    <w:rsid w:val="001C3CFE"/>
    <w:rsid w:val="001D2B7A"/>
    <w:rsid w:val="001D4835"/>
    <w:rsid w:val="001E2D03"/>
    <w:rsid w:val="001E6A83"/>
    <w:rsid w:val="001F05E4"/>
    <w:rsid w:val="001F38F4"/>
    <w:rsid w:val="001F43FC"/>
    <w:rsid w:val="001F764E"/>
    <w:rsid w:val="00204C72"/>
    <w:rsid w:val="00212711"/>
    <w:rsid w:val="002154AE"/>
    <w:rsid w:val="00221FE9"/>
    <w:rsid w:val="00226FC9"/>
    <w:rsid w:val="00236A95"/>
    <w:rsid w:val="00262FD1"/>
    <w:rsid w:val="00280B99"/>
    <w:rsid w:val="00281961"/>
    <w:rsid w:val="00294A14"/>
    <w:rsid w:val="002C1AB5"/>
    <w:rsid w:val="002D1ED4"/>
    <w:rsid w:val="002D5FBE"/>
    <w:rsid w:val="002E04C3"/>
    <w:rsid w:val="00301933"/>
    <w:rsid w:val="0031151D"/>
    <w:rsid w:val="00315177"/>
    <w:rsid w:val="00342C70"/>
    <w:rsid w:val="00345FC0"/>
    <w:rsid w:val="003523B1"/>
    <w:rsid w:val="00360275"/>
    <w:rsid w:val="00366374"/>
    <w:rsid w:val="00373660"/>
    <w:rsid w:val="0038298E"/>
    <w:rsid w:val="00383F2E"/>
    <w:rsid w:val="003905DC"/>
    <w:rsid w:val="0039268F"/>
    <w:rsid w:val="003A1C0D"/>
    <w:rsid w:val="003A4308"/>
    <w:rsid w:val="003A4920"/>
    <w:rsid w:val="003A611C"/>
    <w:rsid w:val="003B6E95"/>
    <w:rsid w:val="003C1C1E"/>
    <w:rsid w:val="003D7E6F"/>
    <w:rsid w:val="003E0B97"/>
    <w:rsid w:val="003E624A"/>
    <w:rsid w:val="003F47A1"/>
    <w:rsid w:val="003F65A3"/>
    <w:rsid w:val="00405CD5"/>
    <w:rsid w:val="00424919"/>
    <w:rsid w:val="004349D0"/>
    <w:rsid w:val="0044171C"/>
    <w:rsid w:val="00442DE1"/>
    <w:rsid w:val="00446AF0"/>
    <w:rsid w:val="00450FB1"/>
    <w:rsid w:val="00454C27"/>
    <w:rsid w:val="004707BD"/>
    <w:rsid w:val="0048021F"/>
    <w:rsid w:val="00493FE7"/>
    <w:rsid w:val="004A0C0E"/>
    <w:rsid w:val="004A2811"/>
    <w:rsid w:val="004A4F7B"/>
    <w:rsid w:val="004B32FE"/>
    <w:rsid w:val="004C1B29"/>
    <w:rsid w:val="004D30C4"/>
    <w:rsid w:val="004E0198"/>
    <w:rsid w:val="004E5CC5"/>
    <w:rsid w:val="004E5D60"/>
    <w:rsid w:val="004E68F8"/>
    <w:rsid w:val="00502BA9"/>
    <w:rsid w:val="0051538D"/>
    <w:rsid w:val="0052066F"/>
    <w:rsid w:val="0052296E"/>
    <w:rsid w:val="005275DD"/>
    <w:rsid w:val="0054247F"/>
    <w:rsid w:val="00547712"/>
    <w:rsid w:val="00551A4D"/>
    <w:rsid w:val="00555926"/>
    <w:rsid w:val="00561F7B"/>
    <w:rsid w:val="0056541B"/>
    <w:rsid w:val="00577B0F"/>
    <w:rsid w:val="005832F0"/>
    <w:rsid w:val="00583E21"/>
    <w:rsid w:val="0058787E"/>
    <w:rsid w:val="005C173B"/>
    <w:rsid w:val="005C5E06"/>
    <w:rsid w:val="005D3BD2"/>
    <w:rsid w:val="005D784B"/>
    <w:rsid w:val="005F07E5"/>
    <w:rsid w:val="005F0F56"/>
    <w:rsid w:val="005F4A9A"/>
    <w:rsid w:val="005F7E28"/>
    <w:rsid w:val="00610EF3"/>
    <w:rsid w:val="00611490"/>
    <w:rsid w:val="00623DA5"/>
    <w:rsid w:val="00632EEE"/>
    <w:rsid w:val="0063415F"/>
    <w:rsid w:val="006431EF"/>
    <w:rsid w:val="0065690D"/>
    <w:rsid w:val="006703D3"/>
    <w:rsid w:val="00670D42"/>
    <w:rsid w:val="00676D46"/>
    <w:rsid w:val="006872F9"/>
    <w:rsid w:val="006A68E4"/>
    <w:rsid w:val="006A68EF"/>
    <w:rsid w:val="006B25AC"/>
    <w:rsid w:val="006C5EE8"/>
    <w:rsid w:val="006C6ACF"/>
    <w:rsid w:val="006D5F1A"/>
    <w:rsid w:val="006E0D19"/>
    <w:rsid w:val="006E15FD"/>
    <w:rsid w:val="007025E7"/>
    <w:rsid w:val="007033DB"/>
    <w:rsid w:val="007105D0"/>
    <w:rsid w:val="00713111"/>
    <w:rsid w:val="00732331"/>
    <w:rsid w:val="007335A6"/>
    <w:rsid w:val="00741F75"/>
    <w:rsid w:val="007474B2"/>
    <w:rsid w:val="00752592"/>
    <w:rsid w:val="0075481E"/>
    <w:rsid w:val="0076243C"/>
    <w:rsid w:val="007735C8"/>
    <w:rsid w:val="00785020"/>
    <w:rsid w:val="00794D0E"/>
    <w:rsid w:val="007969BD"/>
    <w:rsid w:val="007A12B6"/>
    <w:rsid w:val="007A41D3"/>
    <w:rsid w:val="007B15BF"/>
    <w:rsid w:val="007E1C7B"/>
    <w:rsid w:val="007E4BE5"/>
    <w:rsid w:val="007F6727"/>
    <w:rsid w:val="00804218"/>
    <w:rsid w:val="0082380C"/>
    <w:rsid w:val="00846EEA"/>
    <w:rsid w:val="008556F4"/>
    <w:rsid w:val="00856931"/>
    <w:rsid w:val="00863FE5"/>
    <w:rsid w:val="00871CC6"/>
    <w:rsid w:val="00875958"/>
    <w:rsid w:val="00875D1A"/>
    <w:rsid w:val="00884BCD"/>
    <w:rsid w:val="0088639F"/>
    <w:rsid w:val="008937FB"/>
    <w:rsid w:val="008A0DBD"/>
    <w:rsid w:val="008D0005"/>
    <w:rsid w:val="008D28A5"/>
    <w:rsid w:val="008D6100"/>
    <w:rsid w:val="008E0C9A"/>
    <w:rsid w:val="00903815"/>
    <w:rsid w:val="00905305"/>
    <w:rsid w:val="0090609F"/>
    <w:rsid w:val="00920F37"/>
    <w:rsid w:val="00930870"/>
    <w:rsid w:val="0093385D"/>
    <w:rsid w:val="0093677D"/>
    <w:rsid w:val="0094793B"/>
    <w:rsid w:val="00953673"/>
    <w:rsid w:val="0096207D"/>
    <w:rsid w:val="00966D93"/>
    <w:rsid w:val="009671CB"/>
    <w:rsid w:val="009832E9"/>
    <w:rsid w:val="0098599E"/>
    <w:rsid w:val="009B067B"/>
    <w:rsid w:val="009B1F67"/>
    <w:rsid w:val="009B2532"/>
    <w:rsid w:val="009C1B1F"/>
    <w:rsid w:val="009C684F"/>
    <w:rsid w:val="009D016A"/>
    <w:rsid w:val="009D0C04"/>
    <w:rsid w:val="009E08D7"/>
    <w:rsid w:val="009E15DF"/>
    <w:rsid w:val="009E16D8"/>
    <w:rsid w:val="009E5193"/>
    <w:rsid w:val="009E7869"/>
    <w:rsid w:val="009F1DE3"/>
    <w:rsid w:val="009F2421"/>
    <w:rsid w:val="009F3C52"/>
    <w:rsid w:val="00A04CE1"/>
    <w:rsid w:val="00A11F24"/>
    <w:rsid w:val="00A15710"/>
    <w:rsid w:val="00A24EDE"/>
    <w:rsid w:val="00A319D3"/>
    <w:rsid w:val="00A3335C"/>
    <w:rsid w:val="00A4054A"/>
    <w:rsid w:val="00A51E5E"/>
    <w:rsid w:val="00A5581E"/>
    <w:rsid w:val="00A652D2"/>
    <w:rsid w:val="00A719B4"/>
    <w:rsid w:val="00A90EA2"/>
    <w:rsid w:val="00A91FD2"/>
    <w:rsid w:val="00A96C19"/>
    <w:rsid w:val="00AA06FC"/>
    <w:rsid w:val="00AA137F"/>
    <w:rsid w:val="00AA73C4"/>
    <w:rsid w:val="00AC28A6"/>
    <w:rsid w:val="00AD658F"/>
    <w:rsid w:val="00AF4C72"/>
    <w:rsid w:val="00B12D13"/>
    <w:rsid w:val="00B210E6"/>
    <w:rsid w:val="00B26793"/>
    <w:rsid w:val="00B327B5"/>
    <w:rsid w:val="00B4118A"/>
    <w:rsid w:val="00B438A8"/>
    <w:rsid w:val="00B50BFB"/>
    <w:rsid w:val="00B57D3C"/>
    <w:rsid w:val="00B6329D"/>
    <w:rsid w:val="00B65C79"/>
    <w:rsid w:val="00B667F3"/>
    <w:rsid w:val="00B71E8A"/>
    <w:rsid w:val="00B742E4"/>
    <w:rsid w:val="00B75E4D"/>
    <w:rsid w:val="00B9010C"/>
    <w:rsid w:val="00B96EC2"/>
    <w:rsid w:val="00BA13D8"/>
    <w:rsid w:val="00BA152D"/>
    <w:rsid w:val="00BA35A3"/>
    <w:rsid w:val="00BA5269"/>
    <w:rsid w:val="00BA6D6A"/>
    <w:rsid w:val="00BD3463"/>
    <w:rsid w:val="00BD3C73"/>
    <w:rsid w:val="00BD46DD"/>
    <w:rsid w:val="00BD53F1"/>
    <w:rsid w:val="00BE21FC"/>
    <w:rsid w:val="00BE5262"/>
    <w:rsid w:val="00BE7420"/>
    <w:rsid w:val="00BF1DC2"/>
    <w:rsid w:val="00BF7C31"/>
    <w:rsid w:val="00C05CFC"/>
    <w:rsid w:val="00C10DEF"/>
    <w:rsid w:val="00C15FF8"/>
    <w:rsid w:val="00C16292"/>
    <w:rsid w:val="00C266A9"/>
    <w:rsid w:val="00C34718"/>
    <w:rsid w:val="00C376EC"/>
    <w:rsid w:val="00C434E2"/>
    <w:rsid w:val="00C459BC"/>
    <w:rsid w:val="00C57B6D"/>
    <w:rsid w:val="00C666AF"/>
    <w:rsid w:val="00C71FAB"/>
    <w:rsid w:val="00C77878"/>
    <w:rsid w:val="00C85729"/>
    <w:rsid w:val="00C9094C"/>
    <w:rsid w:val="00C9326E"/>
    <w:rsid w:val="00CB0AF0"/>
    <w:rsid w:val="00CB1B70"/>
    <w:rsid w:val="00CB403F"/>
    <w:rsid w:val="00CC7B8D"/>
    <w:rsid w:val="00CD62AD"/>
    <w:rsid w:val="00CD6699"/>
    <w:rsid w:val="00CE3500"/>
    <w:rsid w:val="00CE54D7"/>
    <w:rsid w:val="00CF3117"/>
    <w:rsid w:val="00D0633A"/>
    <w:rsid w:val="00D06578"/>
    <w:rsid w:val="00D71BF5"/>
    <w:rsid w:val="00D806F4"/>
    <w:rsid w:val="00D829CD"/>
    <w:rsid w:val="00D9502E"/>
    <w:rsid w:val="00DC0E8E"/>
    <w:rsid w:val="00DC0E92"/>
    <w:rsid w:val="00DE5015"/>
    <w:rsid w:val="00DE5EB8"/>
    <w:rsid w:val="00E00771"/>
    <w:rsid w:val="00E024E4"/>
    <w:rsid w:val="00E12CA9"/>
    <w:rsid w:val="00E1505B"/>
    <w:rsid w:val="00E16493"/>
    <w:rsid w:val="00E32231"/>
    <w:rsid w:val="00E33649"/>
    <w:rsid w:val="00E36891"/>
    <w:rsid w:val="00E44A95"/>
    <w:rsid w:val="00E46E61"/>
    <w:rsid w:val="00E47D8F"/>
    <w:rsid w:val="00E47EA9"/>
    <w:rsid w:val="00E53D54"/>
    <w:rsid w:val="00E724F4"/>
    <w:rsid w:val="00E760B1"/>
    <w:rsid w:val="00E76322"/>
    <w:rsid w:val="00E84D3A"/>
    <w:rsid w:val="00E856F3"/>
    <w:rsid w:val="00EA0312"/>
    <w:rsid w:val="00EB0B0D"/>
    <w:rsid w:val="00EB18D3"/>
    <w:rsid w:val="00EB4FD9"/>
    <w:rsid w:val="00EC1777"/>
    <w:rsid w:val="00EC44F7"/>
    <w:rsid w:val="00ED6231"/>
    <w:rsid w:val="00EE0843"/>
    <w:rsid w:val="00EE105B"/>
    <w:rsid w:val="00EE21F2"/>
    <w:rsid w:val="00F04231"/>
    <w:rsid w:val="00F045DD"/>
    <w:rsid w:val="00F04A27"/>
    <w:rsid w:val="00F23DCA"/>
    <w:rsid w:val="00F25B32"/>
    <w:rsid w:val="00F3327D"/>
    <w:rsid w:val="00F54DAF"/>
    <w:rsid w:val="00F60FA7"/>
    <w:rsid w:val="00F64CF1"/>
    <w:rsid w:val="00F77562"/>
    <w:rsid w:val="00F77AF4"/>
    <w:rsid w:val="00F90DD5"/>
    <w:rsid w:val="00FA789B"/>
    <w:rsid w:val="00FA7D9C"/>
    <w:rsid w:val="00FB5671"/>
    <w:rsid w:val="00FB6B5E"/>
    <w:rsid w:val="00FB7DDB"/>
    <w:rsid w:val="00FC7DA4"/>
    <w:rsid w:val="00FD0313"/>
    <w:rsid w:val="00FD0701"/>
    <w:rsid w:val="00FD484F"/>
    <w:rsid w:val="00FE5970"/>
    <w:rsid w:val="00FE668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F31A9D"/>
  <w15:chartTrackingRefBased/>
  <w15:docId w15:val="{F15B2CC1-A8D5-41B8-B68C-E22BBE1C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637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6374"/>
  </w:style>
  <w:style w:type="paragraph" w:styleId="Rodap">
    <w:name w:val="footer"/>
    <w:basedOn w:val="Normal"/>
    <w:link w:val="RodapChar"/>
    <w:uiPriority w:val="99"/>
    <w:unhideWhenUsed/>
    <w:rsid w:val="0036637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6374"/>
  </w:style>
  <w:style w:type="paragraph" w:styleId="Textodebalo">
    <w:name w:val="Balloon Text"/>
    <w:basedOn w:val="Normal"/>
    <w:link w:val="TextodebaloChar"/>
    <w:uiPriority w:val="99"/>
    <w:semiHidden/>
    <w:unhideWhenUsed/>
    <w:rsid w:val="003F65A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5A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8599E"/>
    <w:rPr>
      <w:color w:val="0563C1" w:themeColor="hyperlink"/>
      <w:u w:val="single"/>
    </w:rPr>
  </w:style>
  <w:style w:type="paragraph" w:customStyle="1" w:styleId="Default">
    <w:name w:val="Default"/>
    <w:rsid w:val="00623D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5F07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unhideWhenUsed/>
    <w:rsid w:val="005F07E5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F07E5"/>
    <w:rPr>
      <w:rFonts w:eastAsiaTheme="minorEastAsia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02BA9"/>
    <w:rPr>
      <w:rFonts w:eastAsiaTheme="minorEastAsia"/>
      <w:lang w:eastAsia="pt-BR"/>
    </w:rPr>
  </w:style>
  <w:style w:type="paragraph" w:styleId="Legenda">
    <w:name w:val="caption"/>
    <w:basedOn w:val="Normal"/>
    <w:next w:val="Normal"/>
    <w:qFormat/>
    <w:rsid w:val="00161CE5"/>
    <w:pPr>
      <w:spacing w:after="240" w:line="280" w:lineRule="atLeast"/>
      <w:jc w:val="both"/>
    </w:pPr>
    <w:rPr>
      <w:rFonts w:ascii="Arial" w:hAnsi="Arial"/>
      <w:b/>
      <w:bCs/>
      <w:sz w:val="20"/>
      <w:szCs w:val="20"/>
      <w:lang w:eastAsia="en-GB"/>
    </w:rPr>
  </w:style>
  <w:style w:type="paragraph" w:customStyle="1" w:styleId="Fonte">
    <w:name w:val="Fonte"/>
    <w:basedOn w:val="Normal"/>
    <w:next w:val="Normal"/>
    <w:rsid w:val="001B2768"/>
    <w:pPr>
      <w:spacing w:after="240" w:line="280" w:lineRule="atLeast"/>
      <w:jc w:val="both"/>
    </w:pPr>
    <w:rPr>
      <w:rFonts w:ascii="Arial" w:hAnsi="Arial"/>
      <w:i/>
      <w:sz w:val="20"/>
      <w:szCs w:val="18"/>
      <w:lang w:eastAsia="en-GB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D28A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D28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31">
    <w:name w:val="fontstyle31"/>
    <w:basedOn w:val="Fontepargpadro"/>
    <w:rsid w:val="0005658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548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548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5481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5481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5481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5481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7548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4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481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z.vilera\Downloads\CBHAT_papel_timbrado_v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54E2A-3D13-41A0-897E-E41E80E8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CBHAT_papel_timbrado_v4</Template>
  <TotalTime>265</TotalTime>
  <Pages>6</Pages>
  <Words>2867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Silva Gonçalves Vilera</dc:creator>
  <cp:keywords/>
  <dc:description/>
  <cp:lastModifiedBy>Larissa Silva</cp:lastModifiedBy>
  <cp:revision>6</cp:revision>
  <cp:lastPrinted>2019-07-26T15:40:00Z</cp:lastPrinted>
  <dcterms:created xsi:type="dcterms:W3CDTF">2020-12-02T13:26:00Z</dcterms:created>
  <dcterms:modified xsi:type="dcterms:W3CDTF">2020-12-04T13:35:00Z</dcterms:modified>
</cp:coreProperties>
</file>